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433EE">
      <w:pPr>
        <w:keepNext w:val="0"/>
        <w:keepLines w:val="0"/>
        <w:pageBreakBefore w:val="0"/>
        <w:widowControl/>
        <w:kinsoku/>
        <w:wordWrap/>
        <w:overflowPunct/>
        <w:topLinePunct w:val="0"/>
        <w:autoSpaceDE w:val="0"/>
        <w:autoSpaceDN w:val="0"/>
        <w:bidi w:val="0"/>
        <w:adjustRightInd w:val="0"/>
        <w:snapToGrid w:val="0"/>
        <w:spacing w:before="181" w:beforeLines="50" w:after="0" w:line="300" w:lineRule="exact"/>
        <w:ind w:left="110" w:leftChars="50" w:right="227" w:firstLine="0"/>
        <w:jc w:val="left"/>
        <w:textAlignment w:val="auto"/>
        <w:rPr>
          <w:rFonts w:hint="default" w:ascii="宋体" w:hAnsi="宋体" w:eastAsia="宋体"/>
          <w:b w:val="0"/>
          <w:i w:val="0"/>
          <w:color w:val="000000"/>
          <w:sz w:val="24"/>
          <w:szCs w:val="21"/>
          <w:lang w:val="en-US" w:eastAsia="zh-CN"/>
        </w:rPr>
      </w:pPr>
      <w:r>
        <w:rPr>
          <w:rFonts w:hint="eastAsia" w:ascii="宋体" w:hAnsi="宋体" w:eastAsia="宋体"/>
          <w:b w:val="0"/>
          <w:i w:val="0"/>
          <w:color w:val="000000"/>
          <w:sz w:val="24"/>
          <w:szCs w:val="21"/>
          <w:lang w:eastAsia="zh-CN"/>
        </w:rPr>
        <w:t>附件</w:t>
      </w:r>
      <w:r>
        <w:rPr>
          <w:rFonts w:hint="eastAsia" w:ascii="宋体" w:hAnsi="宋体" w:eastAsia="宋体"/>
          <w:b w:val="0"/>
          <w:i w:val="0"/>
          <w:color w:val="000000"/>
          <w:sz w:val="24"/>
          <w:szCs w:val="21"/>
          <w:lang w:val="en-US" w:eastAsia="zh-CN"/>
        </w:rPr>
        <w:t>2-3</w:t>
      </w:r>
    </w:p>
    <w:p w14:paraId="20C7D036">
      <w:pPr>
        <w:keepNext w:val="0"/>
        <w:keepLines w:val="0"/>
        <w:pageBreakBefore w:val="0"/>
        <w:widowControl/>
        <w:tabs>
          <w:tab w:val="left" w:pos="6978"/>
        </w:tabs>
        <w:kinsoku/>
        <w:wordWrap/>
        <w:overflowPunct/>
        <w:topLinePunct w:val="0"/>
        <w:autoSpaceDE w:val="0"/>
        <w:autoSpaceDN w:val="0"/>
        <w:bidi w:val="0"/>
        <w:adjustRightInd w:val="0"/>
        <w:snapToGrid w:val="0"/>
        <w:spacing w:before="181" w:beforeLines="50" w:after="0" w:line="440" w:lineRule="exact"/>
        <w:ind w:left="110" w:leftChars="50" w:right="227" w:firstLine="0"/>
        <w:jc w:val="center"/>
        <w:textAlignment w:val="auto"/>
        <w:rPr>
          <w:rFonts w:hint="eastAsia" w:ascii="方正小标宋简体" w:hAnsi="方正小标宋简体" w:eastAsia="方正小标宋简体" w:cs="方正小标宋简体"/>
          <w:b w:val="0"/>
          <w:i w:val="0"/>
          <w:color w:val="000000"/>
          <w:sz w:val="32"/>
          <w:szCs w:val="21"/>
        </w:rPr>
      </w:pPr>
      <w:r>
        <w:rPr>
          <w:rFonts w:hint="eastAsia" w:ascii="方正小标宋简体" w:hAnsi="方正小标宋简体" w:eastAsia="方正小标宋简体" w:cs="方正小标宋简体"/>
          <w:b w:val="0"/>
          <w:i w:val="0"/>
          <w:color w:val="000000"/>
          <w:sz w:val="32"/>
          <w:szCs w:val="21"/>
        </w:rPr>
        <w:t>深圳市</w:t>
      </w:r>
      <w:r>
        <w:rPr>
          <w:rFonts w:hint="eastAsia" w:ascii="方正小标宋简体" w:hAnsi="方正小标宋简体" w:eastAsia="方正小标宋简体" w:cs="方正小标宋简体"/>
          <w:b w:val="0"/>
          <w:i w:val="0"/>
          <w:color w:val="000000"/>
          <w:sz w:val="32"/>
          <w:szCs w:val="21"/>
          <w:lang w:val="en-US" w:eastAsia="zh-CN"/>
        </w:rPr>
        <w:t>珠宝首饰工艺</w:t>
      </w:r>
      <w:r>
        <w:rPr>
          <w:rFonts w:hint="eastAsia" w:ascii="方正小标宋简体" w:hAnsi="方正小标宋简体" w:eastAsia="方正小标宋简体" w:cs="方正小标宋简体"/>
          <w:b w:val="0"/>
          <w:i w:val="0"/>
          <w:color w:val="000000"/>
          <w:sz w:val="32"/>
          <w:szCs w:val="21"/>
        </w:rPr>
        <w:t xml:space="preserve">专业中级评审 </w:t>
      </w:r>
      <w:r>
        <w:rPr>
          <w:rFonts w:hint="eastAsia" w:ascii="方正小标宋简体" w:hAnsi="方正小标宋简体" w:eastAsia="方正小标宋简体" w:cs="方正小标宋简体"/>
          <w:sz w:val="21"/>
          <w:szCs w:val="21"/>
        </w:rPr>
        <w:br w:type="textWrapping"/>
      </w:r>
      <w:r>
        <w:rPr>
          <w:rFonts w:hint="eastAsia" w:ascii="方正小标宋简体" w:hAnsi="方正小标宋简体" w:eastAsia="方正小标宋简体" w:cs="方正小标宋简体"/>
          <w:b w:val="0"/>
          <w:i w:val="0"/>
          <w:color w:val="000000"/>
          <w:sz w:val="32"/>
          <w:szCs w:val="21"/>
        </w:rPr>
        <w:t>——自评符合申报职称资格条件情况审核表</w:t>
      </w:r>
    </w:p>
    <w:p w14:paraId="3B9CA738">
      <w:pPr>
        <w:keepNext w:val="0"/>
        <w:keepLines w:val="0"/>
        <w:pageBreakBefore w:val="0"/>
        <w:widowControl/>
        <w:kinsoku/>
        <w:wordWrap/>
        <w:overflowPunct/>
        <w:topLinePunct w:val="0"/>
        <w:autoSpaceDE w:val="0"/>
        <w:autoSpaceDN w:val="0"/>
        <w:bidi w:val="0"/>
        <w:adjustRightInd w:val="0"/>
        <w:snapToGrid w:val="0"/>
        <w:spacing w:before="181" w:beforeLines="50" w:after="0" w:line="440" w:lineRule="exact"/>
        <w:ind w:left="110" w:leftChars="50" w:right="227" w:firstLine="0"/>
        <w:jc w:val="left"/>
        <w:textAlignment w:val="auto"/>
        <w:rPr>
          <w:rFonts w:ascii="宋体" w:hAnsi="宋体" w:eastAsia="宋体"/>
          <w:b w:val="0"/>
          <w:i w:val="0"/>
          <w:color w:val="000000"/>
          <w:sz w:val="24"/>
          <w:szCs w:val="21"/>
        </w:rPr>
      </w:pPr>
      <w:r>
        <w:rPr>
          <w:rFonts w:ascii="宋体" w:hAnsi="宋体" w:eastAsia="宋体"/>
          <w:b w:val="0"/>
          <w:i w:val="0"/>
          <w:color w:val="000000"/>
          <w:sz w:val="24"/>
          <w:szCs w:val="21"/>
        </w:rPr>
        <w:t>适用专业范围：</w:t>
      </w:r>
      <w:r>
        <w:rPr>
          <w:rFonts w:hint="eastAsia" w:ascii="Wingdings" w:hAnsi="Wingdings" w:eastAsia="Wingdings"/>
          <w:b w:val="0"/>
          <w:i w:val="0"/>
          <w:color w:val="000000"/>
          <w:sz w:val="24"/>
          <w:szCs w:val="21"/>
          <w:lang w:val="en-US" w:eastAsia="zh-CN"/>
        </w:rPr>
        <w:t>珠宝首饰工艺</w:t>
      </w:r>
    </w:p>
    <w:tbl>
      <w:tblPr>
        <w:tblStyle w:val="33"/>
        <w:tblW w:w="0" w:type="auto"/>
        <w:tblInd w:w="3" w:type="dxa"/>
        <w:tblLayout w:type="fixed"/>
        <w:tblCellMar>
          <w:top w:w="0" w:type="dxa"/>
          <w:left w:w="108" w:type="dxa"/>
          <w:bottom w:w="0" w:type="dxa"/>
          <w:right w:w="108" w:type="dxa"/>
        </w:tblCellMar>
      </w:tblPr>
      <w:tblGrid>
        <w:gridCol w:w="9653"/>
        <w:gridCol w:w="1"/>
      </w:tblGrid>
      <w:tr w14:paraId="712107EC">
        <w:tblPrEx>
          <w:tblCellMar>
            <w:top w:w="0" w:type="dxa"/>
            <w:left w:w="108" w:type="dxa"/>
            <w:bottom w:w="0" w:type="dxa"/>
            <w:right w:w="108" w:type="dxa"/>
          </w:tblCellMar>
        </w:tblPrEx>
        <w:trPr>
          <w:gridAfter w:val="1"/>
          <w:wAfter w:w="1" w:type="dxa"/>
          <w:trHeight w:val="1023" w:hRule="exact"/>
        </w:trPr>
        <w:tc>
          <w:tcPr>
            <w:tcW w:w="9653" w:type="dxa"/>
            <w:tcBorders>
              <w:top w:val="single" w:color="000000" w:sz="0" w:space="0"/>
              <w:left w:val="single" w:color="000000" w:sz="2" w:space="0"/>
              <w:bottom w:val="single" w:color="000000" w:sz="0" w:space="0"/>
              <w:right w:val="single" w:color="000000" w:sz="0" w:space="0"/>
            </w:tcBorders>
            <w:tcMar>
              <w:left w:w="0" w:type="dxa"/>
              <w:right w:w="0" w:type="dxa"/>
            </w:tcMar>
          </w:tcPr>
          <w:p w14:paraId="17434E9C">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宋体" w:hAnsi="宋体" w:eastAsia="宋体"/>
                <w:b w:val="0"/>
                <w:i w:val="0"/>
                <w:color w:val="auto"/>
                <w:sz w:val="24"/>
                <w:szCs w:val="21"/>
              </w:rPr>
              <w:t xml:space="preserve">姓名（请用正楷填写） </w:t>
            </w:r>
          </w:p>
        </w:tc>
      </w:tr>
      <w:tr w14:paraId="6C514236">
        <w:tblPrEx>
          <w:tblCellMar>
            <w:top w:w="0" w:type="dxa"/>
            <w:left w:w="108" w:type="dxa"/>
            <w:bottom w:w="0" w:type="dxa"/>
            <w:right w:w="108" w:type="dxa"/>
          </w:tblCellMar>
        </w:tblPrEx>
        <w:trPr>
          <w:gridAfter w:val="1"/>
          <w:wAfter w:w="1" w:type="dxa"/>
          <w:trHeight w:val="929" w:hRule="exact"/>
        </w:trPr>
        <w:tc>
          <w:tcPr>
            <w:tcW w:w="9653" w:type="dxa"/>
            <w:tcBorders>
              <w:top w:val="single" w:color="000000" w:sz="0" w:space="0"/>
              <w:left w:val="single" w:color="000000" w:sz="2" w:space="0"/>
              <w:bottom w:val="single" w:color="000000" w:sz="0" w:space="0"/>
              <w:right w:val="single" w:color="000000" w:sz="0" w:space="0"/>
            </w:tcBorders>
            <w:tcMar>
              <w:left w:w="0" w:type="dxa"/>
              <w:right w:w="0" w:type="dxa"/>
            </w:tcMar>
          </w:tcPr>
          <w:p w14:paraId="19D5D3EE">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宋体" w:hAnsi="宋体" w:eastAsia="宋体"/>
                <w:b w:val="0"/>
                <w:i w:val="0"/>
                <w:color w:val="auto"/>
                <w:sz w:val="24"/>
                <w:szCs w:val="21"/>
              </w:rPr>
              <w:t xml:space="preserve">单位（请用正楷填写） </w:t>
            </w:r>
          </w:p>
        </w:tc>
      </w:tr>
      <w:tr w14:paraId="3070082D">
        <w:tblPrEx>
          <w:tblCellMar>
            <w:top w:w="0" w:type="dxa"/>
            <w:left w:w="108" w:type="dxa"/>
            <w:bottom w:w="0" w:type="dxa"/>
            <w:right w:w="108" w:type="dxa"/>
          </w:tblCellMar>
        </w:tblPrEx>
        <w:trPr>
          <w:gridAfter w:val="1"/>
          <w:wAfter w:w="1" w:type="dxa"/>
          <w:trHeight w:val="1040" w:hRule="atLeast"/>
        </w:trPr>
        <w:tc>
          <w:tcPr>
            <w:tcW w:w="9653" w:type="dxa"/>
            <w:tcBorders>
              <w:top w:val="single" w:color="000000" w:sz="0" w:space="0"/>
              <w:left w:val="single" w:color="000000" w:sz="2" w:space="0"/>
              <w:bottom w:val="single" w:color="000000" w:sz="0" w:space="0"/>
              <w:right w:val="single" w:color="000000" w:sz="0" w:space="0"/>
            </w:tcBorders>
            <w:tcMar>
              <w:left w:w="0" w:type="dxa"/>
              <w:right w:w="0" w:type="dxa"/>
            </w:tcMar>
          </w:tcPr>
          <w:p w14:paraId="3CB3C269">
            <w:pPr>
              <w:keepNext w:val="0"/>
              <w:keepLines w:val="0"/>
              <w:pageBreakBefore w:val="0"/>
              <w:widowControl/>
              <w:kinsoku/>
              <w:wordWrap/>
              <w:overflowPunct/>
              <w:topLinePunct w:val="0"/>
              <w:autoSpaceDE w:val="0"/>
              <w:autoSpaceDN w:val="0"/>
              <w:bidi w:val="0"/>
              <w:adjustRightInd w:val="0"/>
              <w:snapToGrid w:val="0"/>
              <w:spacing w:after="0" w:line="300" w:lineRule="exact"/>
              <w:ind w:right="227"/>
              <w:jc w:val="left"/>
              <w:textAlignment w:val="auto"/>
              <w:rPr>
                <w:rFonts w:ascii="宋体" w:hAnsi="宋体" w:eastAsia="宋体"/>
                <w:b w:val="0"/>
                <w:i w:val="0"/>
                <w:color w:val="auto"/>
                <w:sz w:val="24"/>
                <w:szCs w:val="21"/>
              </w:rPr>
            </w:pPr>
            <w:r>
              <w:rPr>
                <w:rFonts w:ascii="宋体" w:hAnsi="宋体" w:eastAsia="宋体"/>
                <w:b w:val="0"/>
                <w:i w:val="0"/>
                <w:color w:val="auto"/>
                <w:sz w:val="24"/>
                <w:szCs w:val="21"/>
              </w:rPr>
              <w:t xml:space="preserve">自评符合申报类型条件情况：申报类型（请在以下选项中打“√”) </w:t>
            </w:r>
          </w:p>
          <w:p w14:paraId="6C80D4DA">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普通   </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转系列   </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转专业   </w:t>
            </w:r>
            <w:r>
              <w:rPr>
                <w:rFonts w:ascii="Wingdings" w:hAnsi="Wingdings" w:eastAsia="Wingdings"/>
                <w:b w:val="0"/>
                <w:i w:val="0"/>
                <w:color w:val="auto"/>
                <w:sz w:val="24"/>
                <w:szCs w:val="21"/>
              </w:rPr>
              <w:sym w:font="Wingdings" w:char="00A8"/>
            </w:r>
            <w:r>
              <w:rPr>
                <w:rFonts w:ascii="宋体" w:hAnsi="宋体" w:eastAsia="宋体"/>
                <w:b w:val="0"/>
                <w:i w:val="0"/>
                <w:color w:val="auto"/>
                <w:sz w:val="24"/>
                <w:szCs w:val="21"/>
              </w:rPr>
              <w:t xml:space="preserve">破格 </w:t>
            </w:r>
          </w:p>
        </w:tc>
      </w:tr>
      <w:tr w14:paraId="1B352A83">
        <w:tblPrEx>
          <w:tblCellMar>
            <w:top w:w="0" w:type="dxa"/>
            <w:left w:w="108" w:type="dxa"/>
            <w:bottom w:w="0" w:type="dxa"/>
            <w:right w:w="108" w:type="dxa"/>
          </w:tblCellMar>
        </w:tblPrEx>
        <w:trPr>
          <w:gridAfter w:val="1"/>
          <w:wAfter w:w="1" w:type="dxa"/>
          <w:trHeight w:val="8099" w:hRule="atLeast"/>
        </w:trPr>
        <w:tc>
          <w:tcPr>
            <w:tcW w:w="9653" w:type="dxa"/>
            <w:tcBorders>
              <w:top w:val="single" w:color="000000" w:sz="0" w:space="0"/>
              <w:left w:val="single" w:color="000000" w:sz="2" w:space="0"/>
              <w:bottom w:val="single" w:color="000000" w:sz="0" w:space="0"/>
              <w:right w:val="single" w:color="000000" w:sz="0" w:space="0"/>
            </w:tcBorders>
            <w:tcMar>
              <w:left w:w="0" w:type="dxa"/>
              <w:right w:w="0" w:type="dxa"/>
            </w:tcMar>
          </w:tcPr>
          <w:p w14:paraId="6A706906">
            <w:pPr>
              <w:keepNext w:val="0"/>
              <w:keepLines w:val="0"/>
              <w:pageBreakBefore w:val="0"/>
              <w:widowControl/>
              <w:kinsoku/>
              <w:wordWrap/>
              <w:overflowPunct/>
              <w:topLinePunct w:val="0"/>
              <w:autoSpaceDE w:val="0"/>
              <w:autoSpaceDN w:val="0"/>
              <w:bidi w:val="0"/>
              <w:adjustRightInd w:val="0"/>
              <w:snapToGrid w:val="0"/>
              <w:spacing w:after="0" w:line="300" w:lineRule="exact"/>
              <w:ind w:right="227"/>
              <w:jc w:val="left"/>
              <w:textAlignment w:val="auto"/>
              <w:rPr>
                <w:rFonts w:ascii="宋体" w:hAnsi="宋体" w:eastAsia="宋体"/>
                <w:b w:val="0"/>
                <w:i w:val="0"/>
                <w:color w:val="auto"/>
                <w:sz w:val="24"/>
                <w:szCs w:val="21"/>
              </w:rPr>
            </w:pPr>
          </w:p>
          <w:p w14:paraId="75367F81">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jc w:val="left"/>
              <w:textAlignment w:val="auto"/>
              <w:rPr>
                <w:color w:val="auto"/>
                <w:sz w:val="21"/>
                <w:szCs w:val="21"/>
              </w:rPr>
            </w:pPr>
            <w:r>
              <w:rPr>
                <w:rFonts w:ascii="宋体" w:hAnsi="宋体" w:eastAsia="宋体"/>
                <w:b w:val="0"/>
                <w:i w:val="0"/>
                <w:color w:val="auto"/>
                <w:sz w:val="24"/>
                <w:szCs w:val="21"/>
              </w:rPr>
              <w:t xml:space="preserve">佐证材料清单（普通申报不需填写此列）（请在具备材料的选项打“√”) </w:t>
            </w:r>
          </w:p>
          <w:p w14:paraId="20B9F9F6">
            <w:pPr>
              <w:keepNext w:val="0"/>
              <w:keepLines w:val="0"/>
              <w:pageBreakBefore w:val="0"/>
              <w:widowControl/>
              <w:kinsoku/>
              <w:wordWrap/>
              <w:overflowPunct/>
              <w:topLinePunct w:val="0"/>
              <w:autoSpaceDE w:val="0"/>
              <w:autoSpaceDN w:val="0"/>
              <w:bidi w:val="0"/>
              <w:adjustRightInd w:val="0"/>
              <w:snapToGrid w:val="0"/>
              <w:spacing w:after="0" w:line="288" w:lineRule="auto"/>
              <w:ind w:left="88" w:leftChars="40" w:right="227" w:firstLine="0"/>
              <w:jc w:val="left"/>
              <w:textAlignment w:val="auto"/>
              <w:rPr>
                <w:color w:val="auto"/>
                <w:sz w:val="21"/>
                <w:szCs w:val="21"/>
              </w:rPr>
            </w:pPr>
            <w:r>
              <w:rPr>
                <w:rFonts w:ascii="宋体" w:hAnsi="宋体" w:eastAsia="宋体"/>
                <w:b w:val="0"/>
                <w:i w:val="0"/>
                <w:color w:val="auto"/>
                <w:sz w:val="24"/>
                <w:szCs w:val="21"/>
              </w:rPr>
              <w:t>一、符合转系列申报的材料：</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原系列同层级职称  </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原系列低一层级职称 </w:t>
            </w:r>
          </w:p>
          <w:p w14:paraId="3D3E93C4">
            <w:pPr>
              <w:keepNext w:val="0"/>
              <w:keepLines w:val="0"/>
              <w:pageBreakBefore w:val="0"/>
              <w:widowControl/>
              <w:kinsoku/>
              <w:wordWrap/>
              <w:overflowPunct/>
              <w:topLinePunct w:val="0"/>
              <w:autoSpaceDE w:val="0"/>
              <w:autoSpaceDN w:val="0"/>
              <w:bidi w:val="0"/>
              <w:adjustRightInd w:val="0"/>
              <w:snapToGrid w:val="0"/>
              <w:spacing w:after="0" w:line="288" w:lineRule="auto"/>
              <w:ind w:left="88" w:leftChars="40" w:right="227" w:firstLine="0"/>
              <w:jc w:val="left"/>
              <w:textAlignment w:val="auto"/>
              <w:rPr>
                <w:color w:val="auto"/>
                <w:sz w:val="21"/>
                <w:szCs w:val="21"/>
              </w:rPr>
            </w:pPr>
            <w:r>
              <w:rPr>
                <w:rFonts w:ascii="宋体" w:hAnsi="宋体" w:eastAsia="宋体"/>
                <w:b w:val="0"/>
                <w:i w:val="0"/>
                <w:color w:val="auto"/>
                <w:sz w:val="24"/>
                <w:szCs w:val="21"/>
              </w:rPr>
              <w:t>二、符合转专业申报的材料：</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同系列同层级所有职称  </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转岗证明 </w:t>
            </w:r>
          </w:p>
          <w:p w14:paraId="0AF08549">
            <w:pPr>
              <w:keepNext w:val="0"/>
              <w:keepLines w:val="0"/>
              <w:pageBreakBefore w:val="0"/>
              <w:widowControl/>
              <w:kinsoku/>
              <w:wordWrap/>
              <w:overflowPunct/>
              <w:topLinePunct w:val="0"/>
              <w:autoSpaceDE w:val="0"/>
              <w:autoSpaceDN w:val="0"/>
              <w:bidi w:val="0"/>
              <w:adjustRightInd w:val="0"/>
              <w:snapToGrid w:val="0"/>
              <w:spacing w:after="0" w:line="288" w:lineRule="auto"/>
              <w:ind w:left="88" w:leftChars="40" w:right="227" w:firstLine="0"/>
              <w:jc w:val="left"/>
              <w:textAlignment w:val="auto"/>
              <w:rPr>
                <w:color w:val="auto"/>
                <w:sz w:val="21"/>
                <w:szCs w:val="21"/>
              </w:rPr>
            </w:pPr>
            <w:r>
              <w:rPr>
                <w:rFonts w:ascii="宋体" w:hAnsi="宋体" w:eastAsia="宋体"/>
                <w:b w:val="0"/>
                <w:i w:val="0"/>
                <w:color w:val="auto"/>
                <w:sz w:val="24"/>
                <w:szCs w:val="21"/>
              </w:rPr>
              <w:t xml:space="preserve">三、符合破格申报的材料： </w:t>
            </w:r>
          </w:p>
          <w:p w14:paraId="3F9F6992">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rFonts w:ascii="宋体" w:hAnsi="宋体" w:eastAsia="宋体"/>
                <w:b w:val="0"/>
                <w:i w:val="0"/>
                <w:color w:val="auto"/>
                <w:sz w:val="24"/>
                <w:szCs w:val="21"/>
              </w:rPr>
            </w:pPr>
          </w:p>
          <w:p w14:paraId="698A0071">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color w:val="auto"/>
                <w:sz w:val="21"/>
                <w:szCs w:val="21"/>
              </w:rPr>
            </w:pPr>
            <w:r>
              <w:rPr>
                <w:rFonts w:ascii="宋体" w:hAnsi="宋体" w:eastAsia="宋体"/>
                <w:b w:val="0"/>
                <w:i w:val="0"/>
                <w:color w:val="auto"/>
                <w:sz w:val="24"/>
                <w:szCs w:val="21"/>
              </w:rPr>
              <w:t xml:space="preserve">1.普通破格：执行粤人社规【2021】27号文件中的第四章破格条件之一， </w:t>
            </w:r>
          </w:p>
          <w:p w14:paraId="6B5B92F0">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（1）作为第一撰写人或作者，在核心期刊上发表2 篇专业性学术论文、专业性研究报告、专业技艺创作总结报告等。 </w:t>
            </w:r>
          </w:p>
          <w:p w14:paraId="166FE113">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（2）参与编制完成1 项行业标准或团体、地方标准。 </w:t>
            </w:r>
          </w:p>
          <w:p w14:paraId="2281A6B7">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（3）参与恢复传承并发展1 项濒临失传传统技艺。 </w:t>
            </w:r>
          </w:p>
          <w:p w14:paraId="7450466D">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（4）作品获得中央国家机关保留项目目录中的评比达标表彰工艺美术类全国一等奖1 项，或二等奖2 项；或经省政府有关部</w:t>
            </w:r>
            <w:r>
              <w:rPr>
                <w:rFonts w:hint="eastAsia" w:ascii="宋体" w:hAnsi="宋体" w:eastAsia="宋体"/>
                <w:b w:val="0"/>
                <w:i w:val="0"/>
                <w:color w:val="auto"/>
                <w:sz w:val="24"/>
                <w:szCs w:val="21"/>
                <w:lang w:val="en-US" w:eastAsia="zh-CN"/>
              </w:rPr>
              <w:t>门</w:t>
            </w:r>
            <w:r>
              <w:rPr>
                <w:rFonts w:ascii="宋体" w:hAnsi="宋体" w:eastAsia="宋体"/>
                <w:b w:val="0"/>
                <w:i w:val="0"/>
                <w:color w:val="auto"/>
                <w:sz w:val="24"/>
                <w:szCs w:val="21"/>
              </w:rPr>
              <w:t xml:space="preserve">批准的省级工艺美术类一等奖3项，或二等奖5项。 </w:t>
            </w:r>
          </w:p>
          <w:p w14:paraId="65FABBDB">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rFonts w:ascii="宋体" w:hAnsi="宋体" w:eastAsia="宋体"/>
                <w:b w:val="0"/>
                <w:i w:val="0"/>
                <w:color w:val="auto"/>
                <w:sz w:val="24"/>
                <w:szCs w:val="21"/>
              </w:rPr>
            </w:pPr>
          </w:p>
          <w:p w14:paraId="48242D27">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color w:val="auto"/>
                <w:sz w:val="21"/>
                <w:szCs w:val="21"/>
              </w:rPr>
            </w:pPr>
            <w:r>
              <w:rPr>
                <w:rFonts w:ascii="宋体" w:hAnsi="宋体" w:eastAsia="宋体"/>
                <w:b w:val="0"/>
                <w:i w:val="0"/>
                <w:color w:val="auto"/>
                <w:sz w:val="24"/>
                <w:szCs w:val="21"/>
              </w:rPr>
              <w:t xml:space="preserve">2.在深工作的港澳台专业人才：执行《关于推进粤港澳大湾区职称评价和职业资格认可的实施方案》(粤人社规〔2019〕38号）有关规定。 </w:t>
            </w:r>
          </w:p>
          <w:p w14:paraId="51FA999E">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rFonts w:ascii="宋体" w:hAnsi="宋体" w:eastAsia="宋体"/>
                <w:b w:val="0"/>
                <w:i w:val="0"/>
                <w:color w:val="auto"/>
                <w:sz w:val="24"/>
                <w:szCs w:val="21"/>
              </w:rPr>
            </w:pPr>
          </w:p>
          <w:p w14:paraId="4D17EC41">
            <w:pPr>
              <w:keepNext w:val="0"/>
              <w:keepLines w:val="0"/>
              <w:pageBreakBefore w:val="0"/>
              <w:widowControl/>
              <w:kinsoku/>
              <w:wordWrap/>
              <w:overflowPunct/>
              <w:topLinePunct w:val="0"/>
              <w:autoSpaceDE w:val="0"/>
              <w:autoSpaceDN w:val="0"/>
              <w:bidi w:val="0"/>
              <w:adjustRightInd w:val="0"/>
              <w:snapToGrid w:val="0"/>
              <w:spacing w:after="0" w:line="300" w:lineRule="exact"/>
              <w:ind w:left="88" w:leftChars="40" w:right="227" w:firstLine="0"/>
              <w:jc w:val="left"/>
              <w:textAlignment w:val="auto"/>
              <w:rPr>
                <w:rFonts w:ascii="Wingdings" w:hAnsi="Wingdings" w:eastAsia="Wingdings"/>
                <w:b w:val="0"/>
                <w:i w:val="0"/>
                <w:color w:val="auto"/>
                <w:sz w:val="24"/>
                <w:szCs w:val="21"/>
              </w:rPr>
            </w:pPr>
            <w:r>
              <w:rPr>
                <w:rFonts w:ascii="宋体" w:hAnsi="宋体" w:eastAsia="宋体"/>
                <w:b w:val="0"/>
                <w:i w:val="0"/>
                <w:color w:val="auto"/>
                <w:sz w:val="24"/>
                <w:szCs w:val="21"/>
              </w:rPr>
              <w:t>3.国际职业证书认可情况：根据《深圳市国际职业资格视同职称认可目录（202</w:t>
            </w:r>
            <w:r>
              <w:rPr>
                <w:rFonts w:hint="eastAsia" w:ascii="宋体" w:hAnsi="宋体" w:eastAsia="宋体"/>
                <w:b w:val="0"/>
                <w:i w:val="0"/>
                <w:color w:val="auto"/>
                <w:sz w:val="24"/>
                <w:szCs w:val="21"/>
                <w:lang w:val="en-US" w:eastAsia="zh-CN"/>
              </w:rPr>
              <w:t>4</w:t>
            </w:r>
            <w:r>
              <w:rPr>
                <w:rFonts w:ascii="宋体" w:hAnsi="宋体" w:eastAsia="宋体"/>
                <w:b w:val="0"/>
                <w:i w:val="0"/>
                <w:color w:val="auto"/>
                <w:sz w:val="24"/>
                <w:szCs w:val="21"/>
              </w:rPr>
              <w:t xml:space="preserve">年）》规定。 </w:t>
            </w:r>
          </w:p>
        </w:tc>
      </w:tr>
      <w:tr w14:paraId="078ED26F">
        <w:tblPrEx>
          <w:tblCellMar>
            <w:top w:w="0" w:type="dxa"/>
            <w:left w:w="108" w:type="dxa"/>
            <w:bottom w:w="0" w:type="dxa"/>
            <w:right w:w="108" w:type="dxa"/>
          </w:tblCellMar>
        </w:tblPrEx>
        <w:trPr>
          <w:gridAfter w:val="1"/>
          <w:wAfter w:w="1" w:type="dxa"/>
          <w:trHeight w:val="2103" w:hRule="exact"/>
        </w:trPr>
        <w:tc>
          <w:tcPr>
            <w:tcW w:w="9653" w:type="dxa"/>
            <w:tcBorders>
              <w:top w:val="single" w:color="000000" w:sz="2" w:space="0"/>
              <w:left w:val="single" w:color="000000" w:sz="2" w:space="0"/>
              <w:bottom w:val="single" w:color="000000" w:sz="2" w:space="0"/>
              <w:right w:val="single" w:color="000000" w:sz="0" w:space="0"/>
            </w:tcBorders>
            <w:tcMar>
              <w:left w:w="0" w:type="dxa"/>
              <w:right w:w="0" w:type="dxa"/>
            </w:tcMar>
          </w:tcPr>
          <w:p w14:paraId="70C0E63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宋体" w:hAnsi="宋体" w:eastAsia="宋体"/>
                <w:b w:val="0"/>
                <w:i w:val="0"/>
                <w:color w:val="auto"/>
                <w:sz w:val="24"/>
                <w:szCs w:val="21"/>
              </w:rPr>
              <w:t xml:space="preserve">自评符合学历资历条件情况 </w:t>
            </w:r>
          </w:p>
          <w:p w14:paraId="57690D3E">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hint="eastAsia" w:ascii="宋体" w:hAnsi="宋体" w:eastAsia="宋体"/>
                <w:b w:val="0"/>
                <w:i w:val="0"/>
                <w:color w:val="auto"/>
                <w:sz w:val="24"/>
                <w:szCs w:val="21"/>
                <w:lang w:val="en-US" w:eastAsia="zh-CN"/>
              </w:rPr>
              <w:t>一、</w:t>
            </w:r>
            <w:r>
              <w:rPr>
                <w:rFonts w:ascii="宋体" w:hAnsi="宋体" w:eastAsia="宋体"/>
                <w:b w:val="0"/>
                <w:i w:val="0"/>
                <w:color w:val="auto"/>
                <w:sz w:val="24"/>
                <w:szCs w:val="21"/>
              </w:rPr>
              <w:t>普通申报执行粤人社规【2021】27号文第三章第三</w:t>
            </w:r>
            <w:r>
              <w:rPr>
                <w:rFonts w:hint="eastAsia" w:ascii="宋体" w:hAnsi="宋体" w:eastAsia="宋体"/>
                <w:b w:val="0"/>
                <w:i w:val="0"/>
                <w:color w:val="auto"/>
                <w:sz w:val="24"/>
                <w:szCs w:val="21"/>
                <w:lang w:val="en-US" w:eastAsia="zh-CN"/>
              </w:rPr>
              <w:t>条</w:t>
            </w:r>
            <w:r>
              <w:rPr>
                <w:rFonts w:ascii="宋体" w:hAnsi="宋体" w:eastAsia="宋体"/>
                <w:b w:val="0"/>
                <w:i w:val="0"/>
                <w:color w:val="auto"/>
                <w:sz w:val="24"/>
                <w:szCs w:val="21"/>
              </w:rPr>
              <w:t>（一）学历资历条件</w:t>
            </w:r>
            <w:r>
              <w:rPr>
                <w:rFonts w:hint="eastAsia" w:ascii="宋体" w:hAnsi="宋体" w:eastAsia="宋体"/>
                <w:b w:val="0"/>
                <w:i w:val="0"/>
                <w:color w:val="auto"/>
                <w:sz w:val="24"/>
                <w:szCs w:val="21"/>
                <w:lang w:eastAsia="zh-CN"/>
              </w:rPr>
              <w:t>。</w:t>
            </w:r>
            <w:r>
              <w:rPr>
                <w:rFonts w:ascii="宋体" w:hAnsi="宋体" w:eastAsia="宋体"/>
                <w:b w:val="0"/>
                <w:i w:val="0"/>
                <w:color w:val="auto"/>
                <w:sz w:val="24"/>
                <w:szCs w:val="21"/>
              </w:rPr>
              <w:t xml:space="preserve"> </w:t>
            </w:r>
            <w:r>
              <w:rPr>
                <w:color w:val="auto"/>
                <w:sz w:val="21"/>
                <w:szCs w:val="21"/>
              </w:rPr>
              <w:br w:type="textWrapping"/>
            </w:r>
            <w:r>
              <w:rPr>
                <w:rFonts w:ascii="宋体" w:hAnsi="宋体" w:eastAsia="宋体"/>
                <w:b w:val="0"/>
                <w:i w:val="0"/>
                <w:color w:val="auto"/>
                <w:sz w:val="24"/>
                <w:szCs w:val="21"/>
              </w:rPr>
              <w:t xml:space="preserve">二、转系列（专业）申报依据：（粤人发【2007】197号）及（粤人社规【2020】33号）有关规定执行。 </w:t>
            </w:r>
          </w:p>
          <w:p w14:paraId="4BF2909F">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宋体" w:hAnsi="宋体" w:eastAsia="宋体"/>
                <w:b w:val="0"/>
                <w:i w:val="0"/>
                <w:color w:val="auto"/>
                <w:sz w:val="24"/>
                <w:szCs w:val="21"/>
              </w:rPr>
              <w:t xml:space="preserve">三、破格申报依据查阅 </w:t>
            </w:r>
            <w:r>
              <w:rPr>
                <w:color w:val="auto"/>
                <w:sz w:val="21"/>
                <w:szCs w:val="21"/>
              </w:rPr>
              <w:br w:type="textWrapping"/>
            </w:r>
            <w:r>
              <w:rPr>
                <w:rFonts w:ascii="宋体" w:hAnsi="宋体" w:eastAsia="宋体"/>
                <w:b w:val="0"/>
                <w:i w:val="0"/>
                <w:color w:val="auto"/>
                <w:sz w:val="24"/>
                <w:szCs w:val="21"/>
              </w:rPr>
              <w:t>1.粤人社规【2021】27号文第四章第一条工艺美术师破格条件</w:t>
            </w:r>
            <w:r>
              <w:rPr>
                <w:rFonts w:hint="eastAsia" w:ascii="宋体" w:hAnsi="宋体" w:eastAsia="宋体"/>
                <w:b w:val="0"/>
                <w:i w:val="0"/>
                <w:color w:val="auto"/>
                <w:sz w:val="24"/>
                <w:szCs w:val="21"/>
                <w:lang w:eastAsia="zh-CN"/>
              </w:rPr>
              <w:t>。</w:t>
            </w:r>
          </w:p>
        </w:tc>
      </w:tr>
      <w:tr w14:paraId="74B742E6">
        <w:tblPrEx>
          <w:tblCellMar>
            <w:top w:w="0" w:type="dxa"/>
            <w:left w:w="108" w:type="dxa"/>
            <w:bottom w:w="0" w:type="dxa"/>
            <w:right w:w="108" w:type="dxa"/>
          </w:tblCellMar>
        </w:tblPrEx>
        <w:trPr>
          <w:gridAfter w:val="1"/>
          <w:wAfter w:w="1" w:type="dxa"/>
          <w:trHeight w:val="5396" w:hRule="atLeast"/>
        </w:trPr>
        <w:tc>
          <w:tcPr>
            <w:tcW w:w="9653" w:type="dxa"/>
            <w:tcBorders>
              <w:top w:val="single" w:color="000000" w:sz="2" w:space="0"/>
              <w:left w:val="single" w:color="000000" w:sz="2" w:space="0"/>
              <w:bottom w:val="single" w:color="000000" w:sz="0" w:space="0"/>
              <w:right w:val="single" w:color="000000" w:sz="0" w:space="0"/>
            </w:tcBorders>
            <w:tcMar>
              <w:left w:w="0" w:type="dxa"/>
              <w:right w:w="0" w:type="dxa"/>
            </w:tcMar>
          </w:tcPr>
          <w:p w14:paraId="57057BFC">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宋体" w:hAnsi="宋体" w:eastAsia="宋体"/>
                <w:b w:val="0"/>
                <w:i w:val="0"/>
                <w:color w:val="auto"/>
                <w:sz w:val="24"/>
                <w:szCs w:val="21"/>
              </w:rPr>
              <w:t xml:space="preserve">佐证材料清单（请在具备材料的选项打“√”) </w:t>
            </w:r>
          </w:p>
          <w:p w14:paraId="3A555089">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宋体" w:hAnsi="宋体" w:eastAsia="宋体"/>
                <w:b w:val="0"/>
                <w:i w:val="0"/>
                <w:color w:val="auto"/>
                <w:sz w:val="24"/>
                <w:szCs w:val="21"/>
              </w:rPr>
              <w:t xml:space="preserve">一、普通申报符合文件的材料： </w:t>
            </w:r>
          </w:p>
          <w:p w14:paraId="73DB96CE">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12"/>
              <w:jc w:val="left"/>
              <w:textAlignment w:val="auto"/>
              <w:rPr>
                <w:color w:val="auto"/>
                <w:sz w:val="21"/>
                <w:szCs w:val="21"/>
              </w:rPr>
            </w:pPr>
            <w:r>
              <w:rPr>
                <w:rFonts w:ascii="宋体" w:hAnsi="宋体" w:eastAsia="宋体"/>
                <w:b w:val="0"/>
                <w:i w:val="0"/>
                <w:color w:val="auto"/>
                <w:sz w:val="24"/>
                <w:szCs w:val="21"/>
              </w:rPr>
              <w:t xml:space="preserve">1.学历证书 </w:t>
            </w:r>
            <w:r>
              <w:rPr>
                <w:color w:val="auto"/>
                <w:sz w:val="21"/>
                <w:szCs w:val="21"/>
              </w:rPr>
              <w:br w:type="textWrapping"/>
            </w:r>
            <w:r>
              <w:rPr>
                <w:rFonts w:ascii="Wingdings" w:hAnsi="Wingdings" w:eastAsia="Wingdings"/>
                <w:b w:val="0"/>
                <w:i w:val="0"/>
                <w:color w:val="auto"/>
                <w:sz w:val="24"/>
                <w:szCs w:val="21"/>
              </w:rPr>
              <w:t></w:t>
            </w:r>
            <w:r>
              <w:rPr>
                <w:rFonts w:ascii="宋体" w:hAnsi="宋体" w:eastAsia="宋体"/>
                <w:b w:val="0"/>
                <w:i w:val="0"/>
                <w:color w:val="auto"/>
                <w:sz w:val="24"/>
                <w:szCs w:val="21"/>
              </w:rPr>
              <w:t>具备博士学位，从事工艺美术</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珠宝首饰工艺</w:t>
            </w:r>
            <w:r>
              <w:rPr>
                <w:rFonts w:hint="eastAsia" w:ascii="宋体" w:hAnsi="宋体" w:eastAsia="宋体"/>
                <w:b w:val="0"/>
                <w:i w:val="0"/>
                <w:color w:val="auto"/>
                <w:sz w:val="24"/>
                <w:szCs w:val="21"/>
                <w:lang w:eastAsia="zh-CN"/>
              </w:rPr>
              <w:t>）</w:t>
            </w:r>
            <w:r>
              <w:rPr>
                <w:rFonts w:ascii="宋体" w:hAnsi="宋体" w:eastAsia="宋体"/>
                <w:b w:val="0"/>
                <w:i w:val="0"/>
                <w:color w:val="auto"/>
                <w:sz w:val="24"/>
                <w:szCs w:val="21"/>
              </w:rPr>
              <w:t xml:space="preserve">工作。 </w:t>
            </w:r>
          </w:p>
          <w:p w14:paraId="2262BD9D">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取得硕士学位或第二学士学位，取得助理工艺美术师职称后，从事工艺美术</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珠宝首饰工艺</w:t>
            </w:r>
            <w:r>
              <w:rPr>
                <w:rFonts w:hint="eastAsia" w:ascii="宋体" w:hAnsi="宋体" w:eastAsia="宋体"/>
                <w:b w:val="0"/>
                <w:i w:val="0"/>
                <w:color w:val="auto"/>
                <w:sz w:val="24"/>
                <w:szCs w:val="21"/>
                <w:lang w:eastAsia="zh-CN"/>
              </w:rPr>
              <w:t>）</w:t>
            </w:r>
            <w:r>
              <w:rPr>
                <w:rFonts w:ascii="宋体" w:hAnsi="宋体" w:eastAsia="宋体"/>
                <w:b w:val="0"/>
                <w:i w:val="0"/>
                <w:color w:val="auto"/>
                <w:sz w:val="24"/>
                <w:szCs w:val="21"/>
              </w:rPr>
              <w:t xml:space="preserve">工作满2 年。 </w:t>
            </w:r>
          </w:p>
          <w:p w14:paraId="676F0566">
            <w:pPr>
              <w:keepNext w:val="0"/>
              <w:keepLines w:val="0"/>
              <w:pageBreakBefore w:val="0"/>
              <w:widowControl/>
              <w:tabs>
                <w:tab w:val="left" w:pos="138"/>
              </w:tabs>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取得大学本科学位、大专学历，或技工院校预备技师（技师）班、高级工班毕业，取得助理工艺美术师职称后，从事工艺美术</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珠宝首饰工艺</w:t>
            </w:r>
            <w:r>
              <w:rPr>
                <w:rFonts w:hint="eastAsia" w:ascii="宋体" w:hAnsi="宋体" w:eastAsia="宋体"/>
                <w:b w:val="0"/>
                <w:i w:val="0"/>
                <w:color w:val="auto"/>
                <w:sz w:val="24"/>
                <w:szCs w:val="21"/>
                <w:lang w:eastAsia="zh-CN"/>
              </w:rPr>
              <w:t>）</w:t>
            </w:r>
            <w:r>
              <w:rPr>
                <w:rFonts w:ascii="宋体" w:hAnsi="宋体" w:eastAsia="宋体"/>
                <w:b w:val="0"/>
                <w:i w:val="0"/>
                <w:color w:val="auto"/>
                <w:sz w:val="24"/>
                <w:szCs w:val="21"/>
              </w:rPr>
              <w:t xml:space="preserve">工作满4 年。 </w:t>
            </w:r>
          </w:p>
          <w:p w14:paraId="2D42749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取得助理工艺美术师职称后，从事工艺美术</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珠宝首饰工艺</w:t>
            </w:r>
            <w:r>
              <w:rPr>
                <w:rFonts w:hint="eastAsia" w:ascii="宋体" w:hAnsi="宋体" w:eastAsia="宋体"/>
                <w:b w:val="0"/>
                <w:i w:val="0"/>
                <w:color w:val="auto"/>
                <w:sz w:val="24"/>
                <w:szCs w:val="21"/>
                <w:lang w:eastAsia="zh-CN"/>
              </w:rPr>
              <w:t>）</w:t>
            </w:r>
            <w:r>
              <w:rPr>
                <w:rFonts w:ascii="宋体" w:hAnsi="宋体" w:eastAsia="宋体"/>
                <w:b w:val="0"/>
                <w:i w:val="0"/>
                <w:color w:val="auto"/>
                <w:sz w:val="24"/>
                <w:szCs w:val="21"/>
              </w:rPr>
              <w:t xml:space="preserve">工作满5 年。 </w:t>
            </w:r>
          </w:p>
          <w:p w14:paraId="08984538">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从事工艺美术</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珠宝首饰工艺</w:t>
            </w:r>
            <w:r>
              <w:rPr>
                <w:rFonts w:hint="eastAsia" w:ascii="宋体" w:hAnsi="宋体" w:eastAsia="宋体"/>
                <w:b w:val="0"/>
                <w:i w:val="0"/>
                <w:color w:val="auto"/>
                <w:sz w:val="24"/>
                <w:szCs w:val="21"/>
                <w:lang w:eastAsia="zh-CN"/>
              </w:rPr>
              <w:t>）</w:t>
            </w:r>
            <w:r>
              <w:rPr>
                <w:rFonts w:ascii="宋体" w:hAnsi="宋体" w:eastAsia="宋体"/>
                <w:b w:val="0"/>
                <w:i w:val="0"/>
                <w:color w:val="auto"/>
                <w:sz w:val="24"/>
                <w:szCs w:val="21"/>
              </w:rPr>
              <w:t xml:space="preserve">工作满15 年。 </w:t>
            </w:r>
          </w:p>
          <w:p w14:paraId="0D03123E">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hint="eastAsia" w:eastAsia="宋体"/>
                <w:color w:val="auto"/>
                <w:sz w:val="21"/>
                <w:szCs w:val="21"/>
                <w:lang w:eastAsia="zh-CN"/>
              </w:rPr>
            </w:pPr>
            <w:r>
              <w:rPr>
                <w:rFonts w:ascii="宋体" w:hAnsi="宋体" w:eastAsia="宋体"/>
                <w:b w:val="0"/>
                <w:i w:val="0"/>
                <w:color w:val="auto"/>
                <w:sz w:val="24"/>
                <w:szCs w:val="21"/>
              </w:rPr>
              <w:t xml:space="preserve">2.职称/职业证书 </w:t>
            </w:r>
            <w:r>
              <w:rPr>
                <w:color w:val="auto"/>
                <w:sz w:val="22"/>
                <w:szCs w:val="21"/>
              </w:rPr>
              <w:br w:type="textWrapping"/>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职称证书 </w:t>
            </w:r>
            <w:r>
              <w:rPr>
                <w:color w:val="auto"/>
                <w:sz w:val="22"/>
                <w:szCs w:val="21"/>
              </w:rPr>
              <w:br w:type="textWrapping"/>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职业证书 </w:t>
            </w:r>
            <w:r>
              <w:rPr>
                <w:color w:val="auto"/>
                <w:sz w:val="22"/>
                <w:szCs w:val="21"/>
              </w:rPr>
              <w:br w:type="textWrapping"/>
            </w:r>
            <w:r>
              <w:rPr>
                <w:rFonts w:ascii="宋体" w:hAnsi="宋体" w:eastAsia="宋体"/>
                <w:b w:val="0"/>
                <w:bCs w:val="0"/>
                <w:i w:val="0"/>
                <w:color w:val="auto"/>
                <w:sz w:val="24"/>
                <w:szCs w:val="21"/>
              </w:rPr>
              <w:t>3.国内职业资格证书（</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rPr>
              <w:t>深圳市人力资源和社会保障局关于做好我市202</w:t>
            </w:r>
            <w:r>
              <w:rPr>
                <w:rFonts w:hint="eastAsia" w:ascii="宋体" w:hAnsi="宋体" w:eastAsia="宋体"/>
                <w:b w:val="0"/>
                <w:bCs w:val="0"/>
                <w:i w:val="0"/>
                <w:color w:val="auto"/>
                <w:sz w:val="24"/>
                <w:szCs w:val="21"/>
                <w:lang w:val="en-US" w:eastAsia="zh-CN"/>
              </w:rPr>
              <w:t>5</w:t>
            </w:r>
            <w:r>
              <w:rPr>
                <w:rFonts w:hint="eastAsia" w:ascii="宋体" w:hAnsi="宋体" w:eastAsia="宋体"/>
                <w:b w:val="0"/>
                <w:bCs w:val="0"/>
                <w:i w:val="0"/>
                <w:color w:val="auto"/>
                <w:sz w:val="24"/>
                <w:szCs w:val="21"/>
              </w:rPr>
              <w:t>年度职称评审工作的通知</w:t>
            </w:r>
            <w:r>
              <w:rPr>
                <w:rFonts w:hint="eastAsia" w:ascii="宋体" w:hAnsi="宋体" w:eastAsia="宋体"/>
                <w:b w:val="0"/>
                <w:bCs w:val="0"/>
                <w:i w:val="0"/>
                <w:color w:val="auto"/>
                <w:sz w:val="24"/>
                <w:szCs w:val="21"/>
                <w:lang w:eastAsia="zh-CN"/>
              </w:rPr>
              <w:t>》附件</w:t>
            </w:r>
            <w:r>
              <w:rPr>
                <w:rFonts w:hint="eastAsia" w:ascii="宋体" w:hAnsi="宋体" w:eastAsia="宋体"/>
                <w:b w:val="0"/>
                <w:bCs w:val="0"/>
                <w:i w:val="0"/>
                <w:color w:val="auto"/>
                <w:sz w:val="24"/>
                <w:szCs w:val="21"/>
                <w:lang w:val="en-US" w:eastAsia="zh-CN"/>
              </w:rPr>
              <w:t>3</w:t>
            </w:r>
            <w:r>
              <w:rPr>
                <w:rFonts w:hint="eastAsia" w:ascii="宋体" w:hAnsi="宋体" w:eastAsia="宋体"/>
                <w:b w:val="0"/>
                <w:bCs w:val="0"/>
                <w:i w:val="0"/>
                <w:color w:val="auto"/>
                <w:sz w:val="24"/>
                <w:szCs w:val="21"/>
              </w:rPr>
              <w:t>关于职称评审工作的常见问题问答</w:t>
            </w:r>
            <w:r>
              <w:rPr>
                <w:rFonts w:ascii="宋体" w:hAnsi="宋体" w:eastAsia="宋体"/>
                <w:b w:val="0"/>
                <w:bCs w:val="0"/>
                <w:i w:val="0"/>
                <w:color w:val="auto"/>
                <w:sz w:val="24"/>
                <w:szCs w:val="21"/>
              </w:rPr>
              <w:t xml:space="preserve">） </w:t>
            </w:r>
            <w:r>
              <w:rPr>
                <w:b w:val="0"/>
                <w:bCs w:val="0"/>
                <w:color w:val="auto"/>
                <w:sz w:val="21"/>
                <w:szCs w:val="21"/>
              </w:rPr>
              <w:br w:type="textWrapping"/>
            </w:r>
            <w:r>
              <w:rPr>
                <w:rFonts w:ascii="宋体" w:hAnsi="宋体" w:eastAsia="宋体"/>
                <w:b w:val="0"/>
                <w:bCs w:val="0"/>
                <w:i w:val="0"/>
                <w:color w:val="auto"/>
                <w:sz w:val="24"/>
                <w:szCs w:val="21"/>
              </w:rPr>
              <w:t>4.国际职业资格证书《深圳市国际职业资格视同职称认可目录</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lang w:val="en-US" w:eastAsia="zh-CN"/>
              </w:rPr>
              <w:t>2025年</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 xml:space="preserve">》如有此项在方框中填写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     </w:t>
            </w:r>
            <w:r>
              <w:rPr>
                <w:rFonts w:hint="eastAsia" w:ascii="宋体" w:hAnsi="宋体" w:eastAsia="宋体"/>
                <w:b w:val="0"/>
                <w:bCs w:val="0"/>
                <w:i w:val="0"/>
                <w:color w:val="auto"/>
                <w:sz w:val="24"/>
                <w:szCs w:val="21"/>
                <w:lang w:val="en-US" w:eastAsia="zh-CN"/>
              </w:rPr>
              <w:t xml:space="preserve">  </w:t>
            </w:r>
            <w:r>
              <w:rPr>
                <w:rFonts w:ascii="宋体" w:hAnsi="宋体" w:eastAsia="宋体"/>
                <w:b w:val="0"/>
                <w:bCs w:val="0"/>
                <w:i w:val="0"/>
                <w:color w:val="auto"/>
                <w:sz w:val="24"/>
                <w:szCs w:val="21"/>
              </w:rPr>
              <w:t xml:space="preserve"> ） </w:t>
            </w:r>
          </w:p>
        </w:tc>
      </w:tr>
      <w:tr w14:paraId="1C1FB6CE">
        <w:tblPrEx>
          <w:tblCellMar>
            <w:top w:w="0" w:type="dxa"/>
            <w:left w:w="108" w:type="dxa"/>
            <w:bottom w:w="0" w:type="dxa"/>
            <w:right w:w="108" w:type="dxa"/>
          </w:tblCellMar>
        </w:tblPrEx>
        <w:trPr>
          <w:gridAfter w:val="1"/>
          <w:wAfter w:w="1" w:type="dxa"/>
          <w:trHeight w:val="6290" w:hRule="atLeast"/>
        </w:trPr>
        <w:tc>
          <w:tcPr>
            <w:tcW w:w="9653" w:type="dxa"/>
            <w:tcBorders>
              <w:top w:val="single" w:color="000000" w:sz="2" w:space="0"/>
              <w:left w:val="single" w:color="000000" w:sz="2" w:space="0"/>
              <w:bottom w:val="single" w:color="000000" w:sz="0" w:space="0"/>
              <w:right w:val="single" w:color="000000" w:sz="0" w:space="0"/>
            </w:tcBorders>
            <w:tcMar>
              <w:left w:w="0" w:type="dxa"/>
              <w:right w:w="0" w:type="dxa"/>
            </w:tcMar>
          </w:tcPr>
          <w:p w14:paraId="3A0E482F">
            <w:pPr>
              <w:keepNext w:val="0"/>
              <w:keepLines w:val="0"/>
              <w:pageBreakBefore w:val="0"/>
              <w:widowControl/>
              <w:kinsoku/>
              <w:wordWrap/>
              <w:overflowPunct/>
              <w:topLinePunct w:val="0"/>
              <w:autoSpaceDE w:val="0"/>
              <w:autoSpaceDN w:val="0"/>
              <w:bidi w:val="0"/>
              <w:adjustRightInd w:val="0"/>
              <w:snapToGrid w:val="0"/>
              <w:spacing w:after="0" w:line="300" w:lineRule="exact"/>
              <w:ind w:right="227"/>
              <w:jc w:val="left"/>
              <w:textAlignment w:val="auto"/>
              <w:rPr>
                <w:color w:val="auto"/>
                <w:sz w:val="21"/>
                <w:szCs w:val="21"/>
              </w:rPr>
            </w:pPr>
            <w:r>
              <w:rPr>
                <w:rFonts w:ascii="宋体" w:hAnsi="宋体" w:eastAsia="宋体"/>
                <w:b w:val="0"/>
                <w:i w:val="0"/>
                <w:color w:val="auto"/>
                <w:sz w:val="24"/>
                <w:szCs w:val="21"/>
              </w:rPr>
              <w:t xml:space="preserve">自评符合工作能力（经历）条件情况 </w:t>
            </w:r>
          </w:p>
          <w:p w14:paraId="36D65EBA">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480" w:firstLineChars="200"/>
              <w:jc w:val="left"/>
              <w:textAlignment w:val="auto"/>
              <w:rPr>
                <w:rFonts w:hint="eastAsia" w:ascii="宋体" w:hAnsi="宋体" w:eastAsia="宋体"/>
                <w:b w:val="0"/>
                <w:i w:val="0"/>
                <w:color w:val="auto"/>
                <w:sz w:val="24"/>
                <w:szCs w:val="24"/>
                <w:lang w:eastAsia="zh-CN"/>
              </w:rPr>
            </w:pPr>
            <w:r>
              <w:rPr>
                <w:rFonts w:ascii="宋体" w:hAnsi="宋体" w:eastAsia="宋体"/>
                <w:b w:val="0"/>
                <w:i w:val="0"/>
                <w:color w:val="auto"/>
                <w:sz w:val="24"/>
                <w:szCs w:val="24"/>
              </w:rPr>
              <w:t>依据（粤人社规【2021】27号）第三章三</w:t>
            </w:r>
            <w:r>
              <w:rPr>
                <w:rFonts w:hint="eastAsia" w:ascii="宋体" w:hAnsi="宋体" w:eastAsia="宋体"/>
                <w:b w:val="0"/>
                <w:i w:val="0"/>
                <w:color w:val="auto"/>
                <w:sz w:val="24"/>
                <w:szCs w:val="24"/>
                <w:lang w:val="en-US" w:eastAsia="zh-CN"/>
              </w:rPr>
              <w:t>条</w:t>
            </w:r>
            <w:r>
              <w:rPr>
                <w:rFonts w:ascii="宋体" w:hAnsi="宋体" w:eastAsia="宋体"/>
                <w:b w:val="0"/>
                <w:i w:val="0"/>
                <w:color w:val="auto"/>
                <w:sz w:val="24"/>
                <w:szCs w:val="24"/>
              </w:rPr>
              <w:t>（二）工作能力条件</w:t>
            </w:r>
            <w:r>
              <w:rPr>
                <w:rFonts w:hint="eastAsia" w:ascii="宋体" w:hAnsi="宋体" w:eastAsia="宋体"/>
                <w:b w:val="0"/>
                <w:i w:val="0"/>
                <w:color w:val="auto"/>
                <w:sz w:val="24"/>
                <w:szCs w:val="24"/>
                <w:lang w:eastAsia="zh-CN"/>
              </w:rPr>
              <w:t>：</w:t>
            </w:r>
            <w:r>
              <w:rPr>
                <w:rFonts w:ascii="宋体" w:hAnsi="宋体" w:eastAsia="宋体"/>
                <w:b w:val="0"/>
                <w:i w:val="0"/>
                <w:color w:val="auto"/>
                <w:sz w:val="24"/>
                <w:szCs w:val="24"/>
              </w:rPr>
              <w:t>(佐证材料清单（请在具备材料的选项打“√”</w:t>
            </w:r>
            <w:r>
              <w:rPr>
                <w:rFonts w:hint="eastAsia" w:ascii="宋体" w:hAnsi="宋体" w:eastAsia="宋体"/>
                <w:b w:val="0"/>
                <w:i w:val="0"/>
                <w:color w:val="auto"/>
                <w:sz w:val="24"/>
                <w:szCs w:val="24"/>
                <w:lang w:eastAsia="zh-CN"/>
              </w:rPr>
              <w:t>）</w:t>
            </w:r>
            <w:r>
              <w:rPr>
                <w:rFonts w:ascii="宋体" w:hAnsi="宋体" w:eastAsia="宋体"/>
                <w:b w:val="0"/>
                <w:i w:val="0"/>
                <w:color w:val="auto"/>
                <w:sz w:val="24"/>
                <w:szCs w:val="24"/>
              </w:rPr>
              <w:t xml:space="preserve">) </w:t>
            </w:r>
            <w:r>
              <w:rPr>
                <w:rFonts w:hint="eastAsia" w:ascii="宋体" w:hAnsi="宋体" w:eastAsia="宋体"/>
                <w:b w:val="0"/>
                <w:i w:val="0"/>
                <w:color w:val="auto"/>
                <w:sz w:val="24"/>
                <w:szCs w:val="24"/>
                <w:lang w:eastAsia="zh-CN"/>
              </w:rPr>
              <w:t>：</w:t>
            </w:r>
          </w:p>
          <w:p w14:paraId="1708F682">
            <w:pPr>
              <w:keepNext w:val="0"/>
              <w:keepLines w:val="0"/>
              <w:pageBreakBefore w:val="0"/>
              <w:widowControl/>
              <w:kinsoku/>
              <w:wordWrap/>
              <w:overflowPunct/>
              <w:topLinePunct w:val="0"/>
              <w:autoSpaceDE w:val="0"/>
              <w:autoSpaceDN w:val="0"/>
              <w:bidi w:val="0"/>
              <w:adjustRightInd w:val="0"/>
              <w:snapToGrid w:val="0"/>
              <w:spacing w:after="0" w:line="240" w:lineRule="auto"/>
              <w:ind w:right="227" w:firstLine="240" w:firstLineChars="100"/>
              <w:jc w:val="left"/>
              <w:textAlignment w:val="auto"/>
              <w:rPr>
                <w:color w:val="auto"/>
                <w:sz w:val="24"/>
                <w:szCs w:val="24"/>
              </w:rPr>
            </w:pPr>
            <w:r>
              <w:rPr>
                <w:rFonts w:ascii="Wingdings" w:hAnsi="Wingdings" w:eastAsia="Wingdings"/>
                <w:b w:val="0"/>
                <w:i w:val="0"/>
                <w:color w:val="auto"/>
                <w:sz w:val="24"/>
                <w:szCs w:val="24"/>
              </w:rPr>
              <w:t></w:t>
            </w:r>
            <w:r>
              <w:rPr>
                <w:rFonts w:ascii="宋体" w:hAnsi="宋体" w:eastAsia="宋体" w:cs="宋体"/>
                <w:color w:val="auto"/>
                <w:sz w:val="24"/>
                <w:szCs w:val="24"/>
              </w:rPr>
              <w:t>1.熟练掌握并能够灵活运用本专业基础理论知识和专业技术知识，熟悉本专业技术标准和规程，了解本专业新技术、新工艺、新设备、新材料的现状和发展趋势，具有一定的工艺美术专业研究能力，能够独立撰写学术论文或研究报告。具备下列条件之一：</w:t>
            </w:r>
            <w:r>
              <w:rPr>
                <w:rFonts w:ascii="宋体" w:hAnsi="宋体" w:eastAsia="宋体"/>
                <w:b w:val="0"/>
                <w:i w:val="0"/>
                <w:color w:val="auto"/>
                <w:sz w:val="24"/>
                <w:szCs w:val="24"/>
              </w:rPr>
              <w:t xml:space="preserve"> </w:t>
            </w:r>
          </w:p>
          <w:p w14:paraId="04E48FF8">
            <w:pPr>
              <w:keepNext w:val="0"/>
              <w:keepLines w:val="0"/>
              <w:pageBreakBefore w:val="0"/>
              <w:widowControl/>
              <w:kinsoku/>
              <w:wordWrap/>
              <w:overflowPunct/>
              <w:topLinePunct w:val="0"/>
              <w:autoSpaceDE w:val="0"/>
              <w:autoSpaceDN w:val="0"/>
              <w:bidi w:val="0"/>
              <w:adjustRightInd w:val="0"/>
              <w:snapToGrid w:val="0"/>
              <w:spacing w:after="0" w:line="240" w:lineRule="auto"/>
              <w:ind w:left="110" w:leftChars="50" w:right="227" w:firstLine="420" w:firstLineChars="200"/>
              <w:jc w:val="left"/>
              <w:textAlignment w:val="auto"/>
              <w:rPr>
                <w:color w:val="auto"/>
                <w:sz w:val="21"/>
                <w:szCs w:val="21"/>
              </w:rPr>
            </w:pPr>
            <w:r>
              <w:rPr>
                <w:rFonts w:ascii="Wingdings" w:hAnsi="Wingdings" w:eastAsia="Wingdings"/>
                <w:b w:val="0"/>
                <w:i w:val="0"/>
                <w:color w:val="auto"/>
                <w:sz w:val="21"/>
                <w:szCs w:val="21"/>
              </w:rPr>
              <w:t></w:t>
            </w:r>
            <w:r>
              <w:rPr>
                <w:rFonts w:hint="eastAsia" w:ascii="Wingdings" w:hAnsi="Wingdings" w:eastAsia="宋体"/>
                <w:b w:val="0"/>
                <w:i w:val="0"/>
                <w:color w:val="auto"/>
                <w:sz w:val="21"/>
                <w:szCs w:val="21"/>
                <w:lang w:eastAsia="zh-CN"/>
              </w:rPr>
              <w:t>（</w:t>
            </w:r>
            <w:r>
              <w:rPr>
                <w:rFonts w:ascii="宋体" w:hAnsi="宋体" w:eastAsia="宋体"/>
                <w:b w:val="0"/>
                <w:i w:val="0"/>
                <w:color w:val="auto"/>
                <w:sz w:val="21"/>
                <w:szCs w:val="21"/>
              </w:rPr>
              <w:t>1</w:t>
            </w:r>
            <w:r>
              <w:rPr>
                <w:rFonts w:hint="eastAsia" w:ascii="宋体" w:hAnsi="宋体" w:eastAsia="宋体"/>
                <w:b w:val="0"/>
                <w:i w:val="0"/>
                <w:color w:val="auto"/>
                <w:sz w:val="21"/>
                <w:szCs w:val="21"/>
                <w:lang w:eastAsia="zh-CN"/>
              </w:rPr>
              <w:t>）</w:t>
            </w:r>
            <w:r>
              <w:rPr>
                <w:rFonts w:ascii="宋体" w:hAnsi="宋体" w:eastAsia="宋体"/>
                <w:b w:val="0"/>
                <w:i w:val="0"/>
                <w:color w:val="auto"/>
                <w:sz w:val="21"/>
                <w:szCs w:val="21"/>
              </w:rPr>
              <w:t>工艺美术</w:t>
            </w:r>
            <w:r>
              <w:rPr>
                <w:rFonts w:hint="eastAsia" w:ascii="宋体" w:hAnsi="宋体" w:eastAsia="宋体"/>
                <w:b w:val="0"/>
                <w:i w:val="0"/>
                <w:color w:val="auto"/>
                <w:sz w:val="21"/>
                <w:szCs w:val="21"/>
                <w:lang w:eastAsia="zh-CN"/>
              </w:rPr>
              <w:t>（</w:t>
            </w:r>
            <w:r>
              <w:rPr>
                <w:rFonts w:hint="eastAsia" w:ascii="宋体" w:hAnsi="宋体" w:eastAsia="宋体"/>
                <w:b w:val="0"/>
                <w:i w:val="0"/>
                <w:color w:val="auto"/>
                <w:sz w:val="21"/>
                <w:szCs w:val="21"/>
                <w:lang w:val="en-US" w:eastAsia="zh-CN"/>
              </w:rPr>
              <w:t>珠宝首饰工艺</w:t>
            </w:r>
            <w:r>
              <w:rPr>
                <w:rFonts w:hint="eastAsia" w:ascii="宋体" w:hAnsi="宋体" w:eastAsia="宋体"/>
                <w:b w:val="0"/>
                <w:i w:val="0"/>
                <w:color w:val="auto"/>
                <w:sz w:val="21"/>
                <w:szCs w:val="21"/>
                <w:lang w:eastAsia="zh-CN"/>
              </w:rPr>
              <w:t>）</w:t>
            </w:r>
            <w:r>
              <w:rPr>
                <w:rFonts w:ascii="宋体" w:hAnsi="宋体" w:eastAsia="宋体"/>
                <w:b w:val="0"/>
                <w:i w:val="0"/>
                <w:color w:val="auto"/>
                <w:sz w:val="21"/>
                <w:szCs w:val="21"/>
              </w:rPr>
              <w:t>设计：主持设计的作品被用于市（厅）级以上政府大型活动、赛事等场合，或被市（厅）级以</w:t>
            </w:r>
            <w:r>
              <w:rPr>
                <w:rFonts w:ascii="宋体" w:hAnsi="宋体" w:eastAsia="宋体"/>
                <w:b w:val="0"/>
                <w:bCs w:val="0"/>
                <w:i w:val="0"/>
                <w:color w:val="auto"/>
                <w:sz w:val="21"/>
                <w:szCs w:val="21"/>
              </w:rPr>
              <w:t>上专业艺术馆</w:t>
            </w:r>
            <w:r>
              <w:rPr>
                <w:rFonts w:hint="eastAsia" w:ascii="宋体" w:hAnsi="宋体" w:eastAsia="宋体"/>
                <w:b w:val="0"/>
                <w:bCs w:val="0"/>
                <w:i w:val="0"/>
                <w:color w:val="auto"/>
                <w:sz w:val="21"/>
                <w:szCs w:val="21"/>
                <w:lang w:val="en-US" w:eastAsia="zh-CN"/>
              </w:rPr>
              <w:t>收</w:t>
            </w:r>
            <w:r>
              <w:rPr>
                <w:rFonts w:ascii="宋体" w:hAnsi="宋体" w:eastAsia="宋体"/>
                <w:b w:val="0"/>
                <w:i w:val="0"/>
                <w:color w:val="auto"/>
                <w:sz w:val="21"/>
                <w:szCs w:val="21"/>
              </w:rPr>
              <w:t xml:space="preserve">藏，获得一定的社会影响力，取得一定的社会效益；或主持设计的作品参加市（厅）级以上的专业展览或竞赛并获奖；或作为第一发明人或作者，获得具有一定经济效益或社会效益的专利或著作权登记；或作为主要成员，参与具有一定经济效益或社会效益的设计项目。 </w:t>
            </w:r>
          </w:p>
          <w:p w14:paraId="40523C4D">
            <w:pPr>
              <w:keepNext w:val="0"/>
              <w:keepLines w:val="0"/>
              <w:pageBreakBefore w:val="0"/>
              <w:widowControl/>
              <w:kinsoku/>
              <w:wordWrap/>
              <w:overflowPunct/>
              <w:topLinePunct w:val="0"/>
              <w:autoSpaceDE w:val="0"/>
              <w:autoSpaceDN w:val="0"/>
              <w:bidi w:val="0"/>
              <w:adjustRightInd w:val="0"/>
              <w:snapToGrid w:val="0"/>
              <w:spacing w:after="0" w:line="240" w:lineRule="auto"/>
              <w:ind w:left="110" w:leftChars="50" w:right="227" w:firstLine="420" w:firstLineChars="200"/>
              <w:jc w:val="left"/>
              <w:textAlignment w:val="auto"/>
              <w:rPr>
                <w:color w:val="auto"/>
                <w:sz w:val="21"/>
                <w:szCs w:val="21"/>
              </w:rPr>
            </w:pPr>
            <w:r>
              <w:rPr>
                <w:rFonts w:ascii="Wingdings" w:hAnsi="Wingdings" w:eastAsia="Wingdings"/>
                <w:b w:val="0"/>
                <w:i w:val="0"/>
                <w:color w:val="auto"/>
                <w:sz w:val="21"/>
                <w:szCs w:val="21"/>
              </w:rPr>
              <w:t></w:t>
            </w:r>
            <w:r>
              <w:rPr>
                <w:rFonts w:hint="eastAsia" w:ascii="Wingdings" w:hAnsi="Wingdings" w:eastAsia="宋体"/>
                <w:b w:val="0"/>
                <w:i w:val="0"/>
                <w:color w:val="auto"/>
                <w:sz w:val="21"/>
                <w:szCs w:val="21"/>
                <w:lang w:eastAsia="zh-CN"/>
              </w:rPr>
              <w:t>（</w:t>
            </w:r>
            <w:r>
              <w:rPr>
                <w:rFonts w:ascii="宋体" w:hAnsi="宋体" w:eastAsia="宋体"/>
                <w:b w:val="0"/>
                <w:i w:val="0"/>
                <w:color w:val="auto"/>
                <w:sz w:val="21"/>
                <w:szCs w:val="21"/>
              </w:rPr>
              <w:t>2</w:t>
            </w:r>
            <w:r>
              <w:rPr>
                <w:rFonts w:hint="eastAsia" w:ascii="宋体" w:hAnsi="宋体" w:eastAsia="宋体"/>
                <w:b w:val="0"/>
                <w:i w:val="0"/>
                <w:color w:val="auto"/>
                <w:sz w:val="21"/>
                <w:szCs w:val="21"/>
                <w:lang w:eastAsia="zh-CN"/>
              </w:rPr>
              <w:t>）</w:t>
            </w:r>
            <w:r>
              <w:rPr>
                <w:rFonts w:ascii="宋体" w:hAnsi="宋体" w:eastAsia="宋体"/>
                <w:b w:val="0"/>
                <w:i w:val="0"/>
                <w:color w:val="auto"/>
                <w:sz w:val="21"/>
                <w:szCs w:val="21"/>
              </w:rPr>
              <w:t>工艺美术</w:t>
            </w:r>
            <w:r>
              <w:rPr>
                <w:rFonts w:hint="eastAsia" w:ascii="宋体" w:hAnsi="宋体" w:eastAsia="宋体"/>
                <w:b w:val="0"/>
                <w:i w:val="0"/>
                <w:color w:val="auto"/>
                <w:sz w:val="21"/>
                <w:szCs w:val="21"/>
                <w:lang w:eastAsia="zh-CN"/>
              </w:rPr>
              <w:t>（</w:t>
            </w:r>
            <w:r>
              <w:rPr>
                <w:rFonts w:hint="eastAsia" w:ascii="宋体" w:hAnsi="宋体" w:eastAsia="宋体"/>
                <w:b w:val="0"/>
                <w:i w:val="0"/>
                <w:color w:val="auto"/>
                <w:sz w:val="21"/>
                <w:szCs w:val="21"/>
                <w:lang w:val="en-US" w:eastAsia="zh-CN"/>
              </w:rPr>
              <w:t>珠宝首饰工艺</w:t>
            </w:r>
            <w:r>
              <w:rPr>
                <w:rFonts w:hint="eastAsia" w:ascii="宋体" w:hAnsi="宋体" w:eastAsia="宋体"/>
                <w:b w:val="0"/>
                <w:i w:val="0"/>
                <w:color w:val="auto"/>
                <w:sz w:val="21"/>
                <w:szCs w:val="21"/>
                <w:lang w:eastAsia="zh-CN"/>
              </w:rPr>
              <w:t>）</w:t>
            </w:r>
            <w:r>
              <w:rPr>
                <w:rFonts w:ascii="宋体" w:hAnsi="宋体" w:eastAsia="宋体"/>
                <w:b w:val="0"/>
                <w:i w:val="0"/>
                <w:color w:val="auto"/>
                <w:sz w:val="21"/>
                <w:szCs w:val="21"/>
              </w:rPr>
              <w:t xml:space="preserve">制作：主持制作的作品被用于市（厅）级以上政府大型活动、赛事等场合，或被市（厅）级以上专业艺术馆收藏，获得一定的社会影响力，取得一定的社会效益；或主持制作的作品参加市（厅）级以上的专业展览或竞赛并获奖；或作为第一发明人或作者，获得具有一定经济效益或社会效益的专利或著作权登记；或作为主要成员，在推广新技术、新工艺、新设备、新材料等方面业绩明显，取得一定的经济效益或社会效益。 </w:t>
            </w:r>
          </w:p>
          <w:p w14:paraId="216C35DF">
            <w:pPr>
              <w:keepNext w:val="0"/>
              <w:keepLines w:val="0"/>
              <w:pageBreakBefore w:val="0"/>
              <w:widowControl/>
              <w:kinsoku/>
              <w:wordWrap/>
              <w:overflowPunct/>
              <w:topLinePunct w:val="0"/>
              <w:autoSpaceDE w:val="0"/>
              <w:autoSpaceDN w:val="0"/>
              <w:bidi w:val="0"/>
              <w:adjustRightInd w:val="0"/>
              <w:snapToGrid w:val="0"/>
              <w:spacing w:after="0" w:line="240" w:lineRule="auto"/>
              <w:ind w:left="110" w:leftChars="50" w:right="227" w:firstLine="420" w:firstLineChars="200"/>
              <w:jc w:val="left"/>
              <w:textAlignment w:val="auto"/>
              <w:rPr>
                <w:rFonts w:ascii="宋体" w:hAnsi="宋体" w:eastAsia="宋体"/>
                <w:b w:val="0"/>
                <w:i w:val="0"/>
                <w:color w:val="auto"/>
                <w:sz w:val="21"/>
                <w:szCs w:val="21"/>
              </w:rPr>
            </w:pPr>
            <w:r>
              <w:rPr>
                <w:rFonts w:ascii="Wingdings" w:hAnsi="Wingdings" w:eastAsia="Wingdings"/>
                <w:b w:val="0"/>
                <w:i w:val="0"/>
                <w:color w:val="auto"/>
                <w:sz w:val="21"/>
                <w:szCs w:val="21"/>
              </w:rPr>
              <w:sym w:font="Wingdings" w:char="00A8"/>
            </w:r>
            <w:r>
              <w:rPr>
                <w:rFonts w:hint="eastAsia" w:ascii="Wingdings" w:hAnsi="Wingdings" w:eastAsia="宋体"/>
                <w:b w:val="0"/>
                <w:i w:val="0"/>
                <w:color w:val="auto"/>
                <w:sz w:val="21"/>
                <w:szCs w:val="21"/>
                <w:lang w:eastAsia="zh-CN"/>
              </w:rPr>
              <w:t>（</w:t>
            </w:r>
            <w:r>
              <w:rPr>
                <w:rFonts w:ascii="宋体" w:hAnsi="宋体" w:eastAsia="宋体"/>
                <w:b w:val="0"/>
                <w:i w:val="0"/>
                <w:color w:val="auto"/>
                <w:sz w:val="21"/>
                <w:szCs w:val="21"/>
              </w:rPr>
              <w:t>3</w:t>
            </w:r>
            <w:r>
              <w:rPr>
                <w:rFonts w:hint="eastAsia" w:ascii="宋体" w:hAnsi="宋体" w:eastAsia="宋体"/>
                <w:b w:val="0"/>
                <w:i w:val="0"/>
                <w:color w:val="auto"/>
                <w:sz w:val="21"/>
                <w:szCs w:val="21"/>
                <w:lang w:eastAsia="zh-CN"/>
              </w:rPr>
              <w:t>）</w:t>
            </w:r>
            <w:r>
              <w:rPr>
                <w:rFonts w:ascii="宋体" w:hAnsi="宋体" w:eastAsia="宋体"/>
                <w:b w:val="0"/>
                <w:i w:val="0"/>
                <w:color w:val="auto"/>
                <w:sz w:val="21"/>
                <w:szCs w:val="21"/>
              </w:rPr>
              <w:t>工艺美术</w:t>
            </w:r>
            <w:r>
              <w:rPr>
                <w:rFonts w:hint="eastAsia" w:ascii="宋体" w:hAnsi="宋体" w:eastAsia="宋体"/>
                <w:b w:val="0"/>
                <w:i w:val="0"/>
                <w:color w:val="auto"/>
                <w:sz w:val="21"/>
                <w:szCs w:val="21"/>
                <w:lang w:eastAsia="zh-CN"/>
              </w:rPr>
              <w:t>（</w:t>
            </w:r>
            <w:r>
              <w:rPr>
                <w:rFonts w:hint="eastAsia" w:ascii="宋体" w:hAnsi="宋体" w:eastAsia="宋体"/>
                <w:b w:val="0"/>
                <w:i w:val="0"/>
                <w:color w:val="auto"/>
                <w:sz w:val="21"/>
                <w:szCs w:val="21"/>
                <w:lang w:val="en-US" w:eastAsia="zh-CN"/>
              </w:rPr>
              <w:t>珠宝首饰工艺</w:t>
            </w:r>
            <w:r>
              <w:rPr>
                <w:rFonts w:hint="eastAsia" w:ascii="宋体" w:hAnsi="宋体" w:eastAsia="宋体"/>
                <w:b w:val="0"/>
                <w:i w:val="0"/>
                <w:color w:val="auto"/>
                <w:sz w:val="21"/>
                <w:szCs w:val="21"/>
                <w:lang w:eastAsia="zh-CN"/>
              </w:rPr>
              <w:t>）</w:t>
            </w:r>
            <w:r>
              <w:rPr>
                <w:rFonts w:ascii="宋体" w:hAnsi="宋体" w:eastAsia="宋体"/>
                <w:b w:val="0"/>
                <w:i w:val="0"/>
                <w:color w:val="auto"/>
                <w:sz w:val="21"/>
                <w:szCs w:val="21"/>
              </w:rPr>
              <w:t>研究：主持县（区）级以上项目（课题），研究成果对提升产业或企业创新竞争力起到一定作用；或参与编制行业技术标准或团体、地方标准；或参与县（区）级以上攻关项目或重点科研项目（课题）的研究；或研究成果在专业领域的总 结、推广、创新方面取得一定贡献，受到同行专家认可，在本地区具有一定影响。</w:t>
            </w:r>
          </w:p>
          <w:p w14:paraId="0AC4865A">
            <w:pPr>
              <w:keepNext w:val="0"/>
              <w:keepLines w:val="0"/>
              <w:pageBreakBefore w:val="0"/>
              <w:widowControl/>
              <w:kinsoku/>
              <w:wordWrap/>
              <w:overflowPunct/>
              <w:topLinePunct w:val="0"/>
              <w:autoSpaceDE w:val="0"/>
              <w:autoSpaceDN w:val="0"/>
              <w:bidi w:val="0"/>
              <w:adjustRightInd w:val="0"/>
              <w:snapToGrid w:val="0"/>
              <w:spacing w:after="0" w:line="240" w:lineRule="auto"/>
              <w:ind w:left="110" w:leftChars="50" w:right="227" w:firstLine="420" w:firstLineChars="200"/>
              <w:jc w:val="left"/>
              <w:textAlignment w:val="auto"/>
              <w:rPr>
                <w:color w:val="auto"/>
                <w:sz w:val="21"/>
                <w:szCs w:val="21"/>
              </w:rPr>
            </w:pPr>
            <w:r>
              <w:rPr>
                <w:rFonts w:ascii="宋体" w:hAnsi="宋体" w:eastAsia="宋体"/>
                <w:b w:val="0"/>
                <w:i w:val="0"/>
                <w:color w:val="auto"/>
                <w:sz w:val="21"/>
                <w:szCs w:val="21"/>
              </w:rPr>
              <w:t xml:space="preserve"> </w:t>
            </w:r>
          </w:p>
          <w:p w14:paraId="5BD71E26">
            <w:pPr>
              <w:keepNext w:val="0"/>
              <w:keepLines w:val="0"/>
              <w:pageBreakBefore w:val="0"/>
              <w:widowControl/>
              <w:kinsoku/>
              <w:wordWrap/>
              <w:overflowPunct/>
              <w:topLinePunct w:val="0"/>
              <w:autoSpaceDE w:val="0"/>
              <w:autoSpaceDN w:val="0"/>
              <w:bidi w:val="0"/>
              <w:adjustRightInd w:val="0"/>
              <w:snapToGrid w:val="0"/>
              <w:spacing w:after="0" w:line="240" w:lineRule="auto"/>
              <w:ind w:right="227" w:firstLine="240" w:firstLineChars="10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4"/>
              </w:rPr>
              <w:sym w:font="Wingdings" w:char="00A8"/>
            </w:r>
            <w:r>
              <w:rPr>
                <w:rFonts w:hint="eastAsia" w:ascii="宋体" w:hAnsi="宋体" w:eastAsia="宋体"/>
                <w:b w:val="0"/>
                <w:i w:val="0"/>
                <w:color w:val="auto"/>
                <w:sz w:val="24"/>
                <w:szCs w:val="24"/>
                <w:lang w:val="en-US" w:eastAsia="zh-CN"/>
              </w:rPr>
              <w:t>2</w:t>
            </w:r>
            <w:r>
              <w:rPr>
                <w:rFonts w:ascii="宋体" w:hAnsi="宋体" w:eastAsia="宋体"/>
                <w:b w:val="0"/>
                <w:i w:val="0"/>
                <w:color w:val="auto"/>
                <w:sz w:val="24"/>
                <w:szCs w:val="24"/>
              </w:rPr>
              <w:t>.具有指导助理工艺美术师</w:t>
            </w:r>
            <w:r>
              <w:rPr>
                <w:rFonts w:hint="eastAsia" w:ascii="宋体" w:hAnsi="宋体" w:eastAsia="宋体"/>
                <w:b w:val="0"/>
                <w:i w:val="0"/>
                <w:color w:val="auto"/>
                <w:sz w:val="24"/>
                <w:szCs w:val="24"/>
                <w:lang w:eastAsia="zh-CN"/>
              </w:rPr>
              <w:t>（</w:t>
            </w:r>
            <w:r>
              <w:rPr>
                <w:rFonts w:hint="eastAsia" w:ascii="宋体" w:hAnsi="宋体" w:eastAsia="宋体"/>
                <w:b w:val="0"/>
                <w:i w:val="0"/>
                <w:color w:val="auto"/>
                <w:sz w:val="24"/>
                <w:szCs w:val="24"/>
                <w:lang w:val="en-US" w:eastAsia="zh-CN"/>
              </w:rPr>
              <w:t>珠宝首饰工艺</w:t>
            </w:r>
            <w:r>
              <w:rPr>
                <w:rFonts w:hint="eastAsia" w:ascii="宋体" w:hAnsi="宋体" w:eastAsia="宋体"/>
                <w:b w:val="0"/>
                <w:i w:val="0"/>
                <w:color w:val="auto"/>
                <w:sz w:val="24"/>
                <w:szCs w:val="24"/>
                <w:lang w:eastAsia="zh-CN"/>
              </w:rPr>
              <w:t>）</w:t>
            </w:r>
            <w:r>
              <w:rPr>
                <w:rFonts w:ascii="宋体" w:hAnsi="宋体" w:eastAsia="宋体"/>
                <w:b w:val="0"/>
                <w:i w:val="0"/>
                <w:color w:val="auto"/>
                <w:sz w:val="24"/>
                <w:szCs w:val="24"/>
              </w:rPr>
              <w:t xml:space="preserve">工作的能力。 </w:t>
            </w:r>
          </w:p>
        </w:tc>
      </w:tr>
      <w:tr w14:paraId="51BF681F">
        <w:tblPrEx>
          <w:tblCellMar>
            <w:top w:w="0" w:type="dxa"/>
            <w:left w:w="108" w:type="dxa"/>
            <w:bottom w:w="0" w:type="dxa"/>
            <w:right w:w="108" w:type="dxa"/>
          </w:tblCellMar>
        </w:tblPrEx>
        <w:trPr>
          <w:trHeight w:val="7489" w:hRule="atLeast"/>
        </w:trPr>
        <w:tc>
          <w:tcPr>
            <w:tcW w:w="9654" w:type="dxa"/>
            <w:gridSpan w:val="2"/>
            <w:tcBorders>
              <w:top w:val="single" w:color="000000" w:sz="0" w:space="0"/>
              <w:left w:val="single" w:color="000000" w:sz="2" w:space="0"/>
              <w:bottom w:val="single" w:color="000000" w:sz="0" w:space="0"/>
              <w:right w:val="single" w:color="000000" w:sz="0" w:space="0"/>
            </w:tcBorders>
            <w:tcMar>
              <w:left w:w="0" w:type="dxa"/>
              <w:right w:w="0" w:type="dxa"/>
            </w:tcMar>
          </w:tcPr>
          <w:p w14:paraId="46870193">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auto"/>
                <w:sz w:val="24"/>
                <w:szCs w:val="21"/>
              </w:rPr>
            </w:pPr>
          </w:p>
          <w:p w14:paraId="63B7769C">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宋体" w:hAnsi="宋体" w:eastAsia="宋体"/>
                <w:b w:val="0"/>
                <w:i w:val="0"/>
                <w:color w:val="auto"/>
                <w:sz w:val="24"/>
                <w:szCs w:val="21"/>
              </w:rPr>
              <w:t xml:space="preserve">自评符合业绩和成果条件情况 </w:t>
            </w:r>
          </w:p>
          <w:p w14:paraId="26437E1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480" w:firstLineChars="200"/>
              <w:jc w:val="left"/>
              <w:textAlignment w:val="auto"/>
              <w:rPr>
                <w:color w:val="auto"/>
                <w:sz w:val="21"/>
                <w:szCs w:val="21"/>
              </w:rPr>
            </w:pPr>
            <w:r>
              <w:rPr>
                <w:rFonts w:ascii="宋体" w:hAnsi="宋体" w:eastAsia="宋体"/>
                <w:b w:val="0"/>
                <w:i w:val="0"/>
                <w:color w:val="auto"/>
                <w:sz w:val="24"/>
                <w:szCs w:val="21"/>
              </w:rPr>
              <w:t>依据（粤人社规【2021】27号）第三章三</w:t>
            </w:r>
            <w:r>
              <w:rPr>
                <w:rFonts w:hint="eastAsia" w:ascii="宋体" w:hAnsi="宋体" w:eastAsia="宋体"/>
                <w:b w:val="0"/>
                <w:i w:val="0"/>
                <w:color w:val="auto"/>
                <w:sz w:val="24"/>
                <w:szCs w:val="21"/>
                <w:lang w:val="en-US" w:eastAsia="zh-CN"/>
              </w:rPr>
              <w:t>条</w:t>
            </w:r>
            <w:r>
              <w:rPr>
                <w:rFonts w:ascii="宋体" w:hAnsi="宋体" w:eastAsia="宋体"/>
                <w:b w:val="0"/>
                <w:i w:val="0"/>
                <w:color w:val="auto"/>
                <w:sz w:val="24"/>
                <w:szCs w:val="21"/>
              </w:rPr>
              <w:t xml:space="preserve">（三）业绩和成果条件之一：（佐证材料清单请在具备材料的选项打“√”) </w:t>
            </w:r>
          </w:p>
          <w:p w14:paraId="619C25D3">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cs="宋体"/>
                <w:color w:val="auto"/>
                <w:sz w:val="24"/>
                <w:szCs w:val="24"/>
              </w:rPr>
              <w:t>1.获市级党委和政府表彰奖励 1 次，或县级党委和政府表彰奖励 2 次。</w:t>
            </w:r>
            <w:r>
              <w:rPr>
                <w:rFonts w:ascii="宋体" w:hAnsi="宋体" w:eastAsia="宋体"/>
                <w:b w:val="0"/>
                <w:i w:val="0"/>
                <w:color w:val="auto"/>
                <w:sz w:val="24"/>
                <w:szCs w:val="21"/>
              </w:rPr>
              <w:t xml:space="preserve"> </w:t>
            </w:r>
          </w:p>
          <w:p w14:paraId="1CC25D44">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cs="宋体"/>
                <w:color w:val="auto"/>
                <w:sz w:val="24"/>
                <w:szCs w:val="24"/>
              </w:rPr>
              <w:t>2.获市（厅）级以上行业职业技能竞赛三等奖，或获县（区）级以上行业职业技能竞赛二等奖。</w:t>
            </w:r>
            <w:r>
              <w:rPr>
                <w:rFonts w:ascii="宋体" w:hAnsi="宋体" w:eastAsia="宋体"/>
                <w:b w:val="0"/>
                <w:i w:val="0"/>
                <w:color w:val="auto"/>
                <w:sz w:val="24"/>
                <w:szCs w:val="21"/>
              </w:rPr>
              <w:t xml:space="preserve"> </w:t>
            </w:r>
          </w:p>
          <w:p w14:paraId="3AD86F2D">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3</w:t>
            </w:r>
            <w:r>
              <w:rPr>
                <w:rFonts w:hint="eastAsia" w:ascii="宋体" w:hAnsi="宋体" w:eastAsia="宋体"/>
                <w:b w:val="0"/>
                <w:i w:val="0"/>
                <w:color w:val="auto"/>
                <w:sz w:val="24"/>
                <w:szCs w:val="21"/>
                <w:lang w:val="en-US" w:eastAsia="zh-CN"/>
              </w:rPr>
              <w:t>.</w:t>
            </w:r>
            <w:r>
              <w:rPr>
                <w:rFonts w:ascii="宋体" w:hAnsi="宋体" w:eastAsia="宋体"/>
                <w:b w:val="0"/>
                <w:i w:val="0"/>
                <w:color w:val="auto"/>
                <w:sz w:val="24"/>
                <w:szCs w:val="21"/>
              </w:rPr>
              <w:t xml:space="preserve">代表作品参加国家级专业展览或竞赛，获金奖（一等奖）1项或银奖（二等奖）2项；或参加省（部）级专业展览或竞赛，获金奖（一等奖）2 项或银奖（二等奖）4 项；或参加市（厅）级专业展览或竞赛，获金奖（一等奖）3项或银奖（二等奖）6项。 </w:t>
            </w:r>
          </w:p>
          <w:p w14:paraId="407F0E9F">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4</w:t>
            </w:r>
            <w:r>
              <w:rPr>
                <w:rFonts w:hint="eastAsia" w:ascii="宋体" w:hAnsi="宋体" w:eastAsia="宋体"/>
                <w:b w:val="0"/>
                <w:i w:val="0"/>
                <w:color w:val="auto"/>
                <w:sz w:val="24"/>
                <w:szCs w:val="21"/>
                <w:lang w:val="en-US" w:eastAsia="zh-CN"/>
              </w:rPr>
              <w:t>.</w:t>
            </w:r>
            <w:r>
              <w:rPr>
                <w:rFonts w:ascii="宋体" w:hAnsi="宋体" w:eastAsia="宋体"/>
                <w:b w:val="0"/>
                <w:i w:val="0"/>
                <w:color w:val="auto"/>
                <w:sz w:val="24"/>
                <w:szCs w:val="21"/>
              </w:rPr>
              <w:t xml:space="preserve">主持完成1项市（厅）级以上或2项县（区）级以上基金项目、研究课题；或主持完成1项市（厅）级以上重点设计项目；或作为主要成员，参与完成3项中型设计项目；或参与完成1项县（区）级以上攻关项目或重点科研项目（课题）。 </w:t>
            </w:r>
          </w:p>
          <w:p w14:paraId="077CC803">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5</w:t>
            </w:r>
            <w:r>
              <w:rPr>
                <w:rFonts w:hint="eastAsia" w:ascii="宋体" w:hAnsi="宋体" w:eastAsia="宋体"/>
                <w:b w:val="0"/>
                <w:i w:val="0"/>
                <w:color w:val="auto"/>
                <w:sz w:val="24"/>
                <w:szCs w:val="21"/>
                <w:lang w:val="en-US" w:eastAsia="zh-CN"/>
              </w:rPr>
              <w:t>.</w:t>
            </w:r>
            <w:r>
              <w:rPr>
                <w:rFonts w:ascii="宋体" w:hAnsi="宋体" w:eastAsia="宋体"/>
                <w:b w:val="0"/>
                <w:i w:val="0"/>
                <w:color w:val="auto"/>
                <w:sz w:val="24"/>
                <w:szCs w:val="21"/>
              </w:rPr>
              <w:t xml:space="preserve">作为第一创作人，作品被用于市（厅）级以上政府大型活动、赛事等场合，或被市（厅）级以上专业艺术馆收藏。 </w:t>
            </w:r>
          </w:p>
          <w:p w14:paraId="61668F89">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6</w:t>
            </w:r>
            <w:r>
              <w:rPr>
                <w:rFonts w:hint="eastAsia" w:ascii="宋体" w:hAnsi="宋体" w:eastAsia="宋体"/>
                <w:b w:val="0"/>
                <w:i w:val="0"/>
                <w:color w:val="auto"/>
                <w:sz w:val="24"/>
                <w:szCs w:val="21"/>
                <w:lang w:val="en-US" w:eastAsia="zh-CN"/>
              </w:rPr>
              <w:t>.</w:t>
            </w:r>
            <w:r>
              <w:rPr>
                <w:rFonts w:ascii="宋体" w:hAnsi="宋体" w:eastAsia="宋体"/>
                <w:b w:val="0"/>
                <w:i w:val="0"/>
                <w:color w:val="auto"/>
                <w:sz w:val="24"/>
                <w:szCs w:val="21"/>
              </w:rPr>
              <w:t xml:space="preserve">作为第一发明人或作者，获得具有一定经济效益或社会效益的发明专利1项，或实用新型专利2项，或外观设计专利、著作权登记3项。 </w:t>
            </w:r>
          </w:p>
          <w:p w14:paraId="75FCF73E">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7</w:t>
            </w:r>
            <w:r>
              <w:rPr>
                <w:rFonts w:hint="eastAsia" w:ascii="宋体" w:hAnsi="宋体" w:eastAsia="宋体"/>
                <w:b w:val="0"/>
                <w:i w:val="0"/>
                <w:color w:val="auto"/>
                <w:sz w:val="24"/>
                <w:szCs w:val="21"/>
                <w:lang w:val="en-US" w:eastAsia="zh-CN"/>
              </w:rPr>
              <w:t>.</w:t>
            </w:r>
            <w:r>
              <w:rPr>
                <w:rFonts w:ascii="宋体" w:hAnsi="宋体" w:eastAsia="宋体"/>
                <w:b w:val="0"/>
                <w:i w:val="0"/>
                <w:color w:val="auto"/>
                <w:sz w:val="24"/>
                <w:szCs w:val="21"/>
              </w:rPr>
              <w:t xml:space="preserve">作为第一撰写人或独立作者，在省（部）级以上专业学术会议上或在公开发行的期刊、出版的书籍上发表高水平专业性学术论文、专业性研究报告、专业技艺创作总结报告。 </w:t>
            </w:r>
          </w:p>
          <w:p w14:paraId="44A98E33">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8</w:t>
            </w:r>
            <w:r>
              <w:rPr>
                <w:rFonts w:hint="eastAsia" w:ascii="宋体" w:hAnsi="宋体" w:eastAsia="宋体"/>
                <w:b w:val="0"/>
                <w:i w:val="0"/>
                <w:color w:val="auto"/>
                <w:sz w:val="24"/>
                <w:szCs w:val="21"/>
                <w:lang w:val="en-US" w:eastAsia="zh-CN"/>
              </w:rPr>
              <w:t>.</w:t>
            </w:r>
            <w:r>
              <w:rPr>
                <w:rFonts w:ascii="宋体" w:hAnsi="宋体" w:eastAsia="宋体"/>
                <w:b w:val="0"/>
                <w:i w:val="0"/>
                <w:color w:val="auto"/>
                <w:sz w:val="24"/>
                <w:szCs w:val="21"/>
              </w:rPr>
              <w:t>撰写的本专业研究报告等，被市（厅）级政府或同级部门采纳1次，或被县（区）级政府或同级部门采纳2次；或在工作中用创新思维或方法解决了本专业疑难问题，形成了可复制、可推广的重要经验或做法，被作为典型经验在县（区）级政府或同级部门范围推广。</w:t>
            </w:r>
          </w:p>
          <w:p w14:paraId="6CA50073">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color w:val="auto"/>
                <w:sz w:val="21"/>
                <w:szCs w:val="21"/>
              </w:rPr>
            </w:pPr>
          </w:p>
        </w:tc>
      </w:tr>
      <w:tr w14:paraId="4ECC8D55">
        <w:tblPrEx>
          <w:tblCellMar>
            <w:top w:w="0" w:type="dxa"/>
            <w:left w:w="108" w:type="dxa"/>
            <w:bottom w:w="0" w:type="dxa"/>
            <w:right w:w="108" w:type="dxa"/>
          </w:tblCellMar>
        </w:tblPrEx>
        <w:trPr>
          <w:trHeight w:val="3452" w:hRule="atLeast"/>
        </w:trPr>
        <w:tc>
          <w:tcPr>
            <w:tcW w:w="9654" w:type="dxa"/>
            <w:gridSpan w:val="2"/>
            <w:tcBorders>
              <w:top w:val="single" w:color="000000" w:sz="0" w:space="0"/>
              <w:left w:val="single" w:color="000000" w:sz="2" w:space="0"/>
              <w:bottom w:val="single" w:color="000000" w:sz="0" w:space="0"/>
              <w:right w:val="single" w:color="000000" w:sz="0" w:space="0"/>
            </w:tcBorders>
            <w:tcMar>
              <w:left w:w="0" w:type="dxa"/>
              <w:right w:w="0" w:type="dxa"/>
            </w:tcMar>
          </w:tcPr>
          <w:p w14:paraId="467F81A3">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auto"/>
                <w:sz w:val="24"/>
                <w:szCs w:val="21"/>
              </w:rPr>
            </w:pPr>
          </w:p>
          <w:p w14:paraId="06A171B6">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auto"/>
                <w:sz w:val="24"/>
                <w:szCs w:val="21"/>
              </w:rPr>
            </w:pPr>
            <w:r>
              <w:rPr>
                <w:rFonts w:ascii="宋体" w:hAnsi="宋体" w:eastAsia="宋体"/>
                <w:b w:val="0"/>
                <w:i w:val="0"/>
                <w:color w:val="auto"/>
                <w:sz w:val="24"/>
                <w:szCs w:val="21"/>
              </w:rPr>
              <w:t>申报人承诺：</w:t>
            </w:r>
          </w:p>
          <w:p w14:paraId="3988BEC2">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480" w:firstLineChars="200"/>
              <w:jc w:val="left"/>
              <w:textAlignment w:val="auto"/>
              <w:rPr>
                <w:color w:val="auto"/>
                <w:sz w:val="21"/>
                <w:szCs w:val="21"/>
              </w:rPr>
            </w:pPr>
            <w:r>
              <w:rPr>
                <w:rFonts w:ascii="宋体" w:hAnsi="宋体" w:eastAsia="宋体"/>
                <w:b w:val="0"/>
                <w:i w:val="0"/>
                <w:color w:val="auto"/>
                <w:sz w:val="24"/>
                <w:szCs w:val="21"/>
              </w:rPr>
              <w:t>本人已充分了解广东省深圳市202</w:t>
            </w:r>
            <w:r>
              <w:rPr>
                <w:rFonts w:hint="eastAsia" w:ascii="宋体" w:hAnsi="宋体" w:eastAsia="宋体"/>
                <w:b w:val="0"/>
                <w:i w:val="0"/>
                <w:color w:val="auto"/>
                <w:sz w:val="24"/>
                <w:szCs w:val="21"/>
                <w:lang w:val="en-US" w:eastAsia="zh-CN"/>
              </w:rPr>
              <w:t>5</w:t>
            </w:r>
            <w:r>
              <w:rPr>
                <w:rFonts w:ascii="宋体" w:hAnsi="宋体" w:eastAsia="宋体"/>
                <w:b w:val="0"/>
                <w:i w:val="0"/>
                <w:color w:val="auto"/>
                <w:sz w:val="24"/>
                <w:szCs w:val="21"/>
              </w:rPr>
              <w:t xml:space="preserve">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 </w:t>
            </w:r>
          </w:p>
          <w:p w14:paraId="183A3AF5">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宋体" w:hAnsi="宋体" w:eastAsia="宋体"/>
                <w:b w:val="0"/>
                <w:i w:val="0"/>
                <w:color w:val="auto"/>
                <w:sz w:val="24"/>
                <w:szCs w:val="21"/>
              </w:rPr>
            </w:pPr>
          </w:p>
          <w:p w14:paraId="3E328061">
            <w:pPr>
              <w:keepNext w:val="0"/>
              <w:keepLines w:val="0"/>
              <w:pageBreakBefore w:val="0"/>
              <w:widowControl/>
              <w:kinsoku/>
              <w:wordWrap/>
              <w:overflowPunct/>
              <w:topLinePunct w:val="0"/>
              <w:autoSpaceDE w:val="0"/>
              <w:autoSpaceDN w:val="0"/>
              <w:bidi w:val="0"/>
              <w:adjustRightInd w:val="0"/>
              <w:snapToGrid w:val="0"/>
              <w:spacing w:after="0" w:line="300" w:lineRule="exact"/>
              <w:ind w:left="110" w:leftChars="50" w:right="227" w:firstLine="0"/>
              <w:jc w:val="left"/>
              <w:textAlignment w:val="auto"/>
              <w:rPr>
                <w:rFonts w:ascii="Wingdings" w:hAnsi="Wingdings" w:eastAsia="Wingdings"/>
                <w:b w:val="0"/>
                <w:i w:val="0"/>
                <w:color w:val="auto"/>
                <w:sz w:val="24"/>
                <w:szCs w:val="21"/>
              </w:rPr>
            </w:pPr>
            <w:r>
              <w:rPr>
                <w:rFonts w:ascii="宋体" w:hAnsi="宋体" w:eastAsia="宋体"/>
                <w:b w:val="0"/>
                <w:i w:val="0"/>
                <w:color w:val="auto"/>
                <w:sz w:val="24"/>
                <w:szCs w:val="21"/>
              </w:rPr>
              <w:t xml:space="preserve">申报人（签名）：                       日期： </w:t>
            </w:r>
          </w:p>
        </w:tc>
      </w:tr>
      <w:tr w14:paraId="6F1E8A5E">
        <w:tblPrEx>
          <w:tblCellMar>
            <w:top w:w="0" w:type="dxa"/>
            <w:left w:w="108" w:type="dxa"/>
            <w:bottom w:w="0" w:type="dxa"/>
            <w:right w:w="108" w:type="dxa"/>
          </w:tblCellMar>
        </w:tblPrEx>
        <w:trPr>
          <w:trHeight w:val="2301" w:hRule="atLeast"/>
        </w:trPr>
        <w:tc>
          <w:tcPr>
            <w:tcW w:w="9654" w:type="dxa"/>
            <w:gridSpan w:val="2"/>
            <w:tcBorders>
              <w:top w:val="single" w:color="000000" w:sz="0" w:space="0"/>
              <w:left w:val="single" w:color="000000" w:sz="2" w:space="0"/>
              <w:bottom w:val="single" w:color="000000" w:sz="0" w:space="0"/>
              <w:right w:val="single" w:color="000000" w:sz="0" w:space="0"/>
            </w:tcBorders>
            <w:tcMar>
              <w:left w:w="0" w:type="dxa"/>
              <w:right w:w="0" w:type="dxa"/>
            </w:tcMar>
          </w:tcPr>
          <w:p w14:paraId="1EB9FB62">
            <w:pPr>
              <w:keepNext w:val="0"/>
              <w:keepLines w:val="0"/>
              <w:pageBreakBefore w:val="0"/>
              <w:widowControl/>
              <w:kinsoku/>
              <w:wordWrap/>
              <w:overflowPunct/>
              <w:topLinePunct w:val="0"/>
              <w:autoSpaceDE w:val="0"/>
              <w:autoSpaceDN w:val="0"/>
              <w:bidi w:val="0"/>
              <w:adjustRightInd w:val="0"/>
              <w:snapToGrid w:val="0"/>
              <w:spacing w:before="181" w:beforeLines="50" w:after="0" w:line="300" w:lineRule="exact"/>
              <w:ind w:left="110" w:leftChars="50" w:right="227" w:firstLine="0"/>
              <w:jc w:val="left"/>
              <w:textAlignment w:val="auto"/>
              <w:rPr>
                <w:rFonts w:ascii="宋体" w:hAnsi="宋体" w:eastAsia="宋体"/>
                <w:b w:val="0"/>
                <w:i w:val="0"/>
                <w:color w:val="auto"/>
                <w:sz w:val="24"/>
                <w:szCs w:val="21"/>
              </w:rPr>
            </w:pPr>
            <w:r>
              <w:rPr>
                <w:rFonts w:hint="eastAsia" w:ascii="宋体" w:hAnsi="宋体" w:eastAsia="宋体"/>
                <w:b w:val="0"/>
                <w:i w:val="0"/>
                <w:color w:val="auto"/>
                <w:sz w:val="24"/>
                <w:szCs w:val="21"/>
              </w:rPr>
              <w:t>个人作品集</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如果有的话</w:t>
            </w:r>
            <w:bookmarkStart w:id="0" w:name="_GoBack"/>
            <w:bookmarkEnd w:id="0"/>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rPr>
              <w:t>：</w:t>
            </w:r>
          </w:p>
        </w:tc>
      </w:tr>
    </w:tbl>
    <w:p w14:paraId="4CDCBFBE">
      <w:pPr>
        <w:keepNext w:val="0"/>
        <w:keepLines w:val="0"/>
        <w:pageBreakBefore w:val="0"/>
        <w:widowControl/>
        <w:kinsoku/>
        <w:wordWrap/>
        <w:overflowPunct/>
        <w:topLinePunct w:val="0"/>
        <w:autoSpaceDE w:val="0"/>
        <w:autoSpaceDN w:val="0"/>
        <w:bidi w:val="0"/>
        <w:adjustRightInd w:val="0"/>
        <w:snapToGrid w:val="0"/>
        <w:spacing w:before="181" w:beforeLines="50" w:after="0" w:line="440" w:lineRule="exact"/>
        <w:ind w:right="227"/>
        <w:textAlignment w:val="auto"/>
        <w:rPr>
          <w:sz w:val="21"/>
          <w:szCs w:val="21"/>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pStyle w:val="20"/>
      <w:lvlText w:val="%1."/>
      <w:lvlJc w:val="left"/>
      <w:pPr>
        <w:tabs>
          <w:tab w:val="left" w:pos="1080"/>
        </w:tabs>
        <w:ind w:left="1080" w:hanging="360"/>
      </w:pPr>
    </w:lvl>
  </w:abstractNum>
  <w:abstractNum w:abstractNumId="1">
    <w:nsid w:val="00000001"/>
    <w:multiLevelType w:val="singleLevel"/>
    <w:tmpl w:val="00000001"/>
    <w:lvl w:ilvl="0" w:tentative="0">
      <w:start w:val="1"/>
      <w:numFmt w:val="decimal"/>
      <w:pStyle w:val="13"/>
      <w:lvlText w:val="%1."/>
      <w:lvlJc w:val="left"/>
      <w:pPr>
        <w:tabs>
          <w:tab w:val="left" w:pos="720"/>
        </w:tabs>
        <w:ind w:left="720" w:hanging="360"/>
      </w:pPr>
    </w:lvl>
  </w:abstractNum>
  <w:abstractNum w:abstractNumId="2">
    <w:nsid w:val="00000002"/>
    <w:multiLevelType w:val="singleLevel"/>
    <w:tmpl w:val="0000000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00000003"/>
    <w:multiLevelType w:val="singleLevel"/>
    <w:tmpl w:val="0000000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00000004"/>
    <w:multiLevelType w:val="singleLevel"/>
    <w:tmpl w:val="00000004"/>
    <w:lvl w:ilvl="0" w:tentative="0">
      <w:start w:val="1"/>
      <w:numFmt w:val="decimal"/>
      <w:pStyle w:val="14"/>
      <w:lvlText w:val="%1."/>
      <w:lvlJc w:val="left"/>
      <w:pPr>
        <w:tabs>
          <w:tab w:val="left" w:pos="360"/>
        </w:tabs>
        <w:ind w:left="360" w:hanging="360"/>
      </w:pPr>
    </w:lvl>
  </w:abstractNum>
  <w:abstractNum w:abstractNumId="5">
    <w:nsid w:val="00000005"/>
    <w:multiLevelType w:val="singleLevel"/>
    <w:tmpl w:val="00000005"/>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6203D"/>
    <w:rsid w:val="3DE52B41"/>
    <w:rsid w:val="528D3EA0"/>
    <w:rsid w:val="6B4B00B4"/>
    <w:rsid w:val="713F06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Cambria" w:hAnsi="Cambria" w:eastAsia="ＭＳ 明朝" w:cs="宋体"/>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Calibri" w:hAnsi="Calibri" w:eastAsia="MS Gothic" w:cs="宋体"/>
      <w:b/>
      <w:bCs/>
      <w:color w:val="376092"/>
      <w:sz w:val="28"/>
      <w:szCs w:val="28"/>
    </w:rPr>
  </w:style>
  <w:style w:type="paragraph" w:styleId="4">
    <w:name w:val="heading 2"/>
    <w:basedOn w:val="1"/>
    <w:next w:val="1"/>
    <w:link w:val="140"/>
    <w:qFormat/>
    <w:uiPriority w:val="9"/>
    <w:pPr>
      <w:keepNext/>
      <w:keepLines/>
      <w:spacing w:before="200" w:after="0"/>
      <w:outlineLvl w:val="1"/>
    </w:pPr>
    <w:rPr>
      <w:rFonts w:ascii="Calibri" w:hAnsi="Calibri" w:eastAsia="MS Gothic" w:cs="宋体"/>
      <w:b/>
      <w:bCs/>
      <w:color w:val="4F81BD"/>
      <w:sz w:val="26"/>
      <w:szCs w:val="26"/>
    </w:rPr>
  </w:style>
  <w:style w:type="paragraph" w:styleId="5">
    <w:name w:val="heading 3"/>
    <w:basedOn w:val="1"/>
    <w:next w:val="1"/>
    <w:link w:val="141"/>
    <w:qFormat/>
    <w:uiPriority w:val="9"/>
    <w:pPr>
      <w:keepNext/>
      <w:keepLines/>
      <w:spacing w:before="200" w:after="0"/>
      <w:outlineLvl w:val="2"/>
    </w:pPr>
    <w:rPr>
      <w:rFonts w:ascii="Calibri" w:hAnsi="Calibri" w:eastAsia="MS Gothic" w:cs="宋体"/>
      <w:b/>
      <w:bCs/>
      <w:color w:val="4F81BD"/>
    </w:rPr>
  </w:style>
  <w:style w:type="paragraph" w:styleId="6">
    <w:name w:val="heading 4"/>
    <w:basedOn w:val="1"/>
    <w:next w:val="1"/>
    <w:link w:val="151"/>
    <w:qFormat/>
    <w:uiPriority w:val="9"/>
    <w:pPr>
      <w:keepNext/>
      <w:keepLines/>
      <w:spacing w:before="200" w:after="0"/>
      <w:outlineLvl w:val="3"/>
    </w:pPr>
    <w:rPr>
      <w:rFonts w:ascii="Calibri" w:hAnsi="Calibri" w:eastAsia="MS Gothic" w:cs="宋体"/>
      <w:b/>
      <w:bCs/>
      <w:i/>
      <w:iCs/>
      <w:color w:val="4F81BD"/>
    </w:rPr>
  </w:style>
  <w:style w:type="paragraph" w:styleId="7">
    <w:name w:val="heading 5"/>
    <w:basedOn w:val="1"/>
    <w:next w:val="1"/>
    <w:link w:val="152"/>
    <w:qFormat/>
    <w:uiPriority w:val="9"/>
    <w:pPr>
      <w:keepNext/>
      <w:keepLines/>
      <w:spacing w:before="200" w:after="0"/>
      <w:outlineLvl w:val="4"/>
    </w:pPr>
    <w:rPr>
      <w:rFonts w:ascii="Calibri" w:hAnsi="Calibri" w:eastAsia="MS Gothic" w:cs="宋体"/>
      <w:color w:val="254061"/>
    </w:rPr>
  </w:style>
  <w:style w:type="paragraph" w:styleId="8">
    <w:name w:val="heading 6"/>
    <w:basedOn w:val="1"/>
    <w:next w:val="1"/>
    <w:link w:val="153"/>
    <w:qFormat/>
    <w:uiPriority w:val="9"/>
    <w:pPr>
      <w:keepNext/>
      <w:keepLines/>
      <w:spacing w:before="200" w:after="0"/>
      <w:outlineLvl w:val="5"/>
    </w:pPr>
    <w:rPr>
      <w:rFonts w:ascii="Calibri" w:hAnsi="Calibri" w:eastAsia="MS Gothic" w:cs="宋体"/>
      <w:i/>
      <w:iCs/>
      <w:color w:val="254061"/>
    </w:rPr>
  </w:style>
  <w:style w:type="paragraph" w:styleId="9">
    <w:name w:val="heading 7"/>
    <w:basedOn w:val="1"/>
    <w:next w:val="1"/>
    <w:link w:val="154"/>
    <w:qFormat/>
    <w:uiPriority w:val="9"/>
    <w:pPr>
      <w:keepNext/>
      <w:keepLines/>
      <w:spacing w:before="200" w:after="0"/>
      <w:outlineLvl w:val="6"/>
    </w:pPr>
    <w:rPr>
      <w:rFonts w:ascii="Calibri" w:hAnsi="Calibri" w:eastAsia="MS Gothic" w:cs="宋体"/>
      <w:i/>
      <w:iCs/>
      <w:color w:val="3F3F3F"/>
    </w:rPr>
  </w:style>
  <w:style w:type="paragraph" w:styleId="10">
    <w:name w:val="heading 8"/>
    <w:basedOn w:val="1"/>
    <w:next w:val="1"/>
    <w:link w:val="155"/>
    <w:qFormat/>
    <w:uiPriority w:val="9"/>
    <w:pPr>
      <w:keepNext/>
      <w:keepLines/>
      <w:spacing w:before="200" w:after="0"/>
      <w:outlineLvl w:val="7"/>
    </w:pPr>
    <w:rPr>
      <w:rFonts w:ascii="Calibri" w:hAnsi="Calibri" w:eastAsia="MS Gothic" w:cs="宋体"/>
      <w:color w:val="4F81BD"/>
      <w:sz w:val="20"/>
      <w:szCs w:val="20"/>
    </w:rPr>
  </w:style>
  <w:style w:type="paragraph" w:styleId="11">
    <w:name w:val="heading 9"/>
    <w:basedOn w:val="1"/>
    <w:next w:val="1"/>
    <w:link w:val="156"/>
    <w:qFormat/>
    <w:uiPriority w:val="9"/>
    <w:pPr>
      <w:keepNext/>
      <w:keepLines/>
      <w:spacing w:before="200" w:after="0"/>
      <w:outlineLvl w:val="8"/>
    </w:pPr>
    <w:rPr>
      <w:rFonts w:ascii="Calibri" w:hAnsi="Calibri" w:eastAsia="MS Gothic" w:cs="宋体"/>
      <w:i/>
      <w:iCs/>
      <w:color w:val="3F3F3F"/>
      <w:sz w:val="20"/>
      <w:szCs w:val="20"/>
    </w:rPr>
  </w:style>
  <w:style w:type="character" w:default="1" w:styleId="133">
    <w:name w:val="Default Paragraph Font"/>
    <w:qFormat/>
    <w:uiPriority w:val="1"/>
  </w:style>
  <w:style w:type="table" w:default="1" w:styleId="33">
    <w:name w:val="Normal Table"/>
    <w:qFormat/>
    <w:uiPriority w:val="99"/>
    <w:tblPr>
      <w:tblCellMar>
        <w:top w:w="0" w:type="dxa"/>
        <w:left w:w="108" w:type="dxa"/>
        <w:bottom w:w="0" w:type="dxa"/>
        <w:right w:w="108" w:type="dxa"/>
      </w:tblCellMar>
    </w:tblPr>
  </w:style>
  <w:style w:type="paragraph" w:styleId="2">
    <w:name w:val="macro"/>
    <w:link w:val="148"/>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ＭＳ 明朝" w:cs="宋体"/>
      <w:sz w:val="20"/>
      <w:szCs w:val="20"/>
      <w:lang w:val="en-US" w:eastAsia="en-US" w:bidi="ar-SA"/>
    </w:rPr>
  </w:style>
  <w:style w:type="paragraph" w:styleId="12">
    <w:name w:val="List 3"/>
    <w:basedOn w:val="1"/>
    <w:qFormat/>
    <w:uiPriority w:val="99"/>
    <w:pPr>
      <w:ind w:left="1080" w:hanging="360"/>
      <w:contextualSpacing/>
    </w:pPr>
  </w:style>
  <w:style w:type="paragraph" w:styleId="13">
    <w:name w:val="List Number 2"/>
    <w:basedOn w:val="1"/>
    <w:qFormat/>
    <w:uiPriority w:val="99"/>
    <w:pPr>
      <w:numPr>
        <w:ilvl w:val="0"/>
        <w:numId w:val="1"/>
      </w:numPr>
      <w:contextualSpacing/>
    </w:pPr>
  </w:style>
  <w:style w:type="paragraph" w:styleId="14">
    <w:name w:val="List Number"/>
    <w:basedOn w:val="1"/>
    <w:qFormat/>
    <w:uiPriority w:val="99"/>
    <w:pPr>
      <w:numPr>
        <w:ilvl w:val="0"/>
        <w:numId w:val="2"/>
      </w:numPr>
      <w:contextualSpacing/>
    </w:pPr>
  </w:style>
  <w:style w:type="paragraph" w:styleId="15">
    <w:name w:val="caption"/>
    <w:basedOn w:val="1"/>
    <w:next w:val="1"/>
    <w:qFormat/>
    <w:uiPriority w:val="35"/>
    <w:pPr>
      <w:spacing w:line="240" w:lineRule="auto"/>
    </w:pPr>
    <w:rPr>
      <w:b/>
      <w:bCs/>
      <w:color w:val="4F81BD"/>
      <w:sz w:val="18"/>
      <w:szCs w:val="18"/>
    </w:rPr>
  </w:style>
  <w:style w:type="paragraph" w:styleId="16">
    <w:name w:val="List Bullet"/>
    <w:basedOn w:val="1"/>
    <w:qFormat/>
    <w:uiPriority w:val="99"/>
    <w:pPr>
      <w:numPr>
        <w:ilvl w:val="0"/>
        <w:numId w:val="3"/>
      </w:numPr>
      <w:contextualSpacing/>
    </w:pPr>
  </w:style>
  <w:style w:type="paragraph" w:styleId="17">
    <w:name w:val="Body Text 3"/>
    <w:basedOn w:val="1"/>
    <w:link w:val="147"/>
    <w:qFormat/>
    <w:uiPriority w:val="99"/>
    <w:pPr>
      <w:spacing w:after="120"/>
    </w:pPr>
    <w:rPr>
      <w:sz w:val="16"/>
      <w:szCs w:val="16"/>
    </w:rPr>
  </w:style>
  <w:style w:type="paragraph" w:styleId="18">
    <w:name w:val="List Bullet 3"/>
    <w:basedOn w:val="1"/>
    <w:qFormat/>
    <w:uiPriority w:val="99"/>
    <w:pPr>
      <w:numPr>
        <w:ilvl w:val="0"/>
        <w:numId w:val="4"/>
      </w:numPr>
      <w:contextualSpacing/>
    </w:pPr>
  </w:style>
  <w:style w:type="paragraph" w:styleId="19">
    <w:name w:val="Body Text"/>
    <w:basedOn w:val="1"/>
    <w:link w:val="145"/>
    <w:qFormat/>
    <w:uiPriority w:val="99"/>
    <w:pPr>
      <w:spacing w:after="120"/>
    </w:pPr>
  </w:style>
  <w:style w:type="paragraph" w:styleId="20">
    <w:name w:val="List Number 3"/>
    <w:basedOn w:val="1"/>
    <w:qFormat/>
    <w:uiPriority w:val="99"/>
    <w:pPr>
      <w:numPr>
        <w:ilvl w:val="0"/>
        <w:numId w:val="5"/>
      </w:numPr>
      <w:contextualSpacing/>
    </w:pPr>
  </w:style>
  <w:style w:type="paragraph" w:styleId="21">
    <w:name w:val="List 2"/>
    <w:basedOn w:val="1"/>
    <w:qFormat/>
    <w:uiPriority w:val="99"/>
    <w:pPr>
      <w:ind w:left="720" w:hanging="360"/>
      <w:contextualSpacing/>
    </w:pPr>
  </w:style>
  <w:style w:type="paragraph" w:styleId="22">
    <w:name w:val="List Continue"/>
    <w:basedOn w:val="1"/>
    <w:qFormat/>
    <w:uiPriority w:val="99"/>
    <w:pPr>
      <w:spacing w:after="120"/>
      <w:ind w:left="360"/>
      <w:contextualSpacing/>
    </w:pPr>
  </w:style>
  <w:style w:type="paragraph" w:styleId="23">
    <w:name w:val="List Bullet 2"/>
    <w:basedOn w:val="1"/>
    <w:qFormat/>
    <w:uiPriority w:val="99"/>
    <w:pPr>
      <w:numPr>
        <w:ilvl w:val="0"/>
        <w:numId w:val="6"/>
      </w:numPr>
      <w:contextualSpacing/>
    </w:pPr>
  </w:style>
  <w:style w:type="paragraph" w:styleId="24">
    <w:name w:val="footer"/>
    <w:basedOn w:val="1"/>
    <w:link w:val="137"/>
    <w:qFormat/>
    <w:uiPriority w:val="99"/>
    <w:pPr>
      <w:tabs>
        <w:tab w:val="center" w:pos="4680"/>
        <w:tab w:val="right" w:pos="9360"/>
      </w:tabs>
      <w:spacing w:after="0" w:line="240" w:lineRule="auto"/>
    </w:pPr>
  </w:style>
  <w:style w:type="paragraph" w:styleId="25">
    <w:name w:val="header"/>
    <w:basedOn w:val="1"/>
    <w:link w:val="136"/>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Calibri" w:hAnsi="Calibri" w:eastAsia="MS Gothic" w:cs="宋体"/>
      <w:i/>
      <w:iCs/>
      <w:color w:val="4F81BD"/>
      <w:spacing w:val="15"/>
      <w:sz w:val="24"/>
      <w:szCs w:val="24"/>
    </w:rPr>
  </w:style>
  <w:style w:type="paragraph" w:styleId="27">
    <w:name w:val="List"/>
    <w:basedOn w:val="1"/>
    <w:qFormat/>
    <w:uiPriority w:val="99"/>
    <w:pPr>
      <w:ind w:left="360" w:hanging="360"/>
      <w:contextualSpacing/>
    </w:pPr>
  </w:style>
  <w:style w:type="paragraph" w:styleId="28">
    <w:name w:val="Body Text 2"/>
    <w:basedOn w:val="1"/>
    <w:link w:val="146"/>
    <w:qFormat/>
    <w:uiPriority w:val="99"/>
    <w:pPr>
      <w:spacing w:after="120" w:line="480" w:lineRule="auto"/>
    </w:pPr>
  </w:style>
  <w:style w:type="paragraph" w:styleId="29">
    <w:name w:val="List Continue 2"/>
    <w:basedOn w:val="1"/>
    <w:qFormat/>
    <w:uiPriority w:val="99"/>
    <w:pPr>
      <w:spacing w:after="120"/>
      <w:ind w:left="720"/>
      <w:contextualSpacing/>
    </w:pPr>
  </w:style>
  <w:style w:type="paragraph" w:styleId="30">
    <w:name w:val="Normal (Web)"/>
    <w:basedOn w:val="1"/>
    <w:qFormat/>
    <w:uiPriority w:val="99"/>
    <w:pPr>
      <w:spacing w:before="0" w:beforeAutospacing="1" w:after="0" w:afterAutospacing="1"/>
      <w:ind w:left="0" w:right="0"/>
      <w:jc w:val="left"/>
    </w:pPr>
    <w:rPr>
      <w:kern w:val="0"/>
      <w:sz w:val="24"/>
      <w:lang w:val="en-US" w:eastAsia="zh-CN"/>
    </w:rPr>
  </w:style>
  <w:style w:type="paragraph" w:styleId="31">
    <w:name w:val="List Continue 3"/>
    <w:basedOn w:val="1"/>
    <w:qFormat/>
    <w:uiPriority w:val="99"/>
    <w:pPr>
      <w:spacing w:after="120"/>
      <w:ind w:left="1080"/>
      <w:contextualSpacing/>
    </w:pPr>
  </w:style>
  <w:style w:type="paragraph" w:styleId="32">
    <w:name w:val="Title"/>
    <w:basedOn w:val="1"/>
    <w:next w:val="1"/>
    <w:link w:val="142"/>
    <w:qFormat/>
    <w:uiPriority w:val="10"/>
    <w:pPr>
      <w:pBdr>
        <w:bottom w:val="single" w:color="4F81BD" w:sz="8" w:space="4"/>
      </w:pBdr>
      <w:spacing w:after="300" w:line="240" w:lineRule="auto"/>
      <w:contextualSpacing/>
    </w:pPr>
    <w:rPr>
      <w:rFonts w:ascii="Calibri" w:hAnsi="Calibri" w:eastAsia="MS Gothic" w:cs="宋体"/>
      <w:color w:val="17375E"/>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table" w:styleId="36">
    <w:name w:val="Light Shading Accent 1"/>
    <w:basedOn w:val="33"/>
    <w:qFormat/>
    <w:uiPriority w:val="60"/>
    <w:pPr>
      <w:spacing w:after="0" w:line="240" w:lineRule="auto"/>
    </w:pPr>
    <w:rPr>
      <w:color w:val="37609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7">
    <w:name w:val="Light Shading Accent 2"/>
    <w:basedOn w:val="33"/>
    <w:qFormat/>
    <w:uiPriority w:val="60"/>
    <w:pPr>
      <w:spacing w:after="0" w:line="240" w:lineRule="auto"/>
    </w:pPr>
    <w:rPr>
      <w:color w:val="953735"/>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38">
    <w:name w:val="Light Shading Accent 3"/>
    <w:basedOn w:val="33"/>
    <w:qFormat/>
    <w:uiPriority w:val="60"/>
    <w:pPr>
      <w:spacing w:after="0" w:line="240" w:lineRule="auto"/>
    </w:pPr>
    <w:rPr>
      <w:color w:val="7793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9">
    <w:name w:val="Light Shading Accent 4"/>
    <w:basedOn w:val="33"/>
    <w:qFormat/>
    <w:uiPriority w:val="60"/>
    <w:pPr>
      <w:spacing w:after="0" w:line="240" w:lineRule="auto"/>
    </w:pPr>
    <w:rPr>
      <w:color w:val="604A7B"/>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40">
    <w:name w:val="Light Shading Accent 5"/>
    <w:basedOn w:val="33"/>
    <w:qFormat/>
    <w:uiPriority w:val="60"/>
    <w:pPr>
      <w:spacing w:after="0" w:line="240" w:lineRule="auto"/>
    </w:pPr>
    <w:rPr>
      <w:color w:val="31859C"/>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 w:type="table" w:styleId="41">
    <w:name w:val="Light Shading Accent 6"/>
    <w:basedOn w:val="33"/>
    <w:qFormat/>
    <w:uiPriority w:val="60"/>
    <w:pPr>
      <w:spacing w:after="0" w:line="240" w:lineRule="auto"/>
    </w:pPr>
    <w:rPr>
      <w:color w:val="E46C0A"/>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42">
    <w:name w:val="Light List"/>
    <w:basedOn w:val="33"/>
    <w:qFormat/>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3">
    <w:name w:val="Light List Accent 1"/>
    <w:basedOn w:val="33"/>
    <w:qFormat/>
    <w:uiPriority w:val="61"/>
    <w:pPr>
      <w:spacing w:after="0" w:line="240" w:lineRule="auto"/>
    </w:p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44">
    <w:name w:val="Light List Accent 2"/>
    <w:basedOn w:val="33"/>
    <w:qFormat/>
    <w:uiPriority w:val="61"/>
    <w:pPr>
      <w:spacing w:after="0" w:line="240" w:lineRule="auto"/>
    </w:p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45">
    <w:name w:val="Light List Accent 3"/>
    <w:basedOn w:val="33"/>
    <w:qFormat/>
    <w:uiPriority w:val="61"/>
    <w:pPr>
      <w:spacing w:after="0" w:line="240" w:lineRule="auto"/>
    </w:p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46">
    <w:name w:val="Light List Accent 4"/>
    <w:basedOn w:val="33"/>
    <w:qFormat/>
    <w:uiPriority w:val="61"/>
    <w:pPr>
      <w:spacing w:after="0" w:line="240" w:lineRule="auto"/>
    </w:p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47">
    <w:name w:val="Light List Accent 5"/>
    <w:basedOn w:val="33"/>
    <w:qFormat/>
    <w:uiPriority w:val="61"/>
    <w:pPr>
      <w:spacing w:after="0" w:line="240" w:lineRule="auto"/>
    </w:p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48">
    <w:name w:val="Light List Accent 6"/>
    <w:basedOn w:val="33"/>
    <w:qFormat/>
    <w:uiPriority w:val="61"/>
    <w:pPr>
      <w:spacing w:after="0" w:line="240" w:lineRule="auto"/>
    </w:p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49">
    <w:name w:val="Light Grid"/>
    <w:basedOn w:val="33"/>
    <w:qFormat/>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3"/>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3"/>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0"/>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0"/>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5D1"/>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5D1"/>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3F3F3F" w:sz="8" w:space="0"/>
          <w:left w:val="single" w:color="3F3F3F" w:sz="8" w:space="0"/>
          <w:bottom w:val="single" w:color="3F3F3F" w:sz="8" w:space="0"/>
          <w:right w:val="single" w:color="3F3F3F" w:sz="8" w:space="0"/>
          <w:insideH w:val="nil"/>
          <w:insideV w:val="nil"/>
        </w:tcBorders>
        <w:shd w:val="clear" w:color="auto" w:fill="000000"/>
      </w:tcPr>
    </w:tblStylePr>
    <w:tblStylePr w:type="lastRow">
      <w:pPr>
        <w:spacing w:before="0" w:after="0" w:line="240" w:lineRule="auto"/>
      </w:pPr>
      <w:rPr>
        <w:b/>
        <w:bCs/>
      </w:rPr>
      <w:tblPr/>
      <w:tcPr>
        <w:tcBorders>
          <w:top w:val="double" w:color="3F3F3F" w:sz="6" w:space="0"/>
          <w:left w:val="single" w:color="3F3F3F" w:sz="8" w:space="0"/>
          <w:bottom w:val="single" w:color="3F3F3F" w:sz="8" w:space="0"/>
          <w:right w:val="single" w:color="3F3F3F" w:sz="8" w:space="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B4CC82" w:sz="8" w:space="0"/>
          <w:left w:val="single" w:color="B4CC82" w:sz="8" w:space="0"/>
          <w:bottom w:val="single" w:color="B4CC82" w:sz="8" w:space="0"/>
          <w:right w:val="single" w:color="B4CC82" w:sz="8" w:space="0"/>
          <w:insideH w:val="nil"/>
          <w:insideV w:val="nil"/>
        </w:tcBorders>
        <w:shd w:val="clear" w:color="auto" w:fill="9BBB59"/>
      </w:tcPr>
    </w:tblStylePr>
    <w:tblStylePr w:type="lastRow">
      <w:pPr>
        <w:spacing w:before="0" w:after="0" w:line="240" w:lineRule="auto"/>
      </w:pPr>
      <w:rPr>
        <w:b/>
        <w:bCs/>
      </w:rPr>
      <w:tblPr/>
      <w:tcPr>
        <w:tcBorders>
          <w:top w:val="double" w:color="B4CC82" w:sz="6" w:space="0"/>
          <w:left w:val="single" w:color="B4CC82" w:sz="8" w:space="0"/>
          <w:bottom w:val="single" w:color="B4CC82" w:sz="8" w:space="0"/>
          <w:right w:val="single" w:color="B4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cPr>
    </w:tblStylePr>
    <w:tblStylePr w:type="band1Horz">
      <w:tblPr/>
      <w:tcPr>
        <w:shd w:val="clear" w:color="auto" w:fill="BFBFBF"/>
      </w:tcPr>
    </w:tblStylePr>
  </w:style>
  <w:style w:type="table" w:styleId="71">
    <w:name w:val="Medium List 1 Accent 1"/>
    <w:basedOn w:val="33"/>
    <w:qFormat/>
    <w:uiPriority w:val="65"/>
    <w:pPr>
      <w:spacing w:after="0" w:line="240" w:lineRule="auto"/>
    </w:pPr>
    <w:rPr>
      <w:color w:val="000000"/>
    </w:rPr>
    <w:tblPr>
      <w:tblBorders>
        <w:top w:val="single" w:color="4F81BD" w:sz="8" w:space="0"/>
        <w:bottom w:val="single" w:color="4F81BD"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72">
    <w:name w:val="Medium List 1 Accent 2"/>
    <w:basedOn w:val="33"/>
    <w:qFormat/>
    <w:uiPriority w:val="65"/>
    <w:pPr>
      <w:spacing w:after="0" w:line="240" w:lineRule="auto"/>
    </w:pPr>
    <w:rPr>
      <w:color w:val="000000"/>
    </w:rPr>
    <w:tblPr>
      <w:tblBorders>
        <w:top w:val="single" w:color="C0504D" w:sz="8" w:space="0"/>
        <w:bottom w:val="single" w:color="C0504D"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3"/>
      </w:tcPr>
    </w:tblStylePr>
    <w:tblStylePr w:type="band1Horz">
      <w:tblPr/>
      <w:tcPr>
        <w:shd w:val="clear" w:color="auto" w:fill="EFD3D3"/>
      </w:tcPr>
    </w:tblStylePr>
  </w:style>
  <w:style w:type="table" w:styleId="73">
    <w:name w:val="Medium List 1 Accent 3"/>
    <w:basedOn w:val="33"/>
    <w:qFormat/>
    <w:uiPriority w:val="65"/>
    <w:pPr>
      <w:spacing w:after="0" w:line="240" w:lineRule="auto"/>
    </w:pPr>
    <w:rPr>
      <w:color w:val="000000"/>
    </w:rPr>
    <w:tblPr>
      <w:tblBorders>
        <w:top w:val="single" w:color="9BBB59" w:sz="8" w:space="0"/>
        <w:bottom w:val="single" w:color="9BBB59"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74">
    <w:name w:val="Medium List 1 Accent 4"/>
    <w:basedOn w:val="33"/>
    <w:qFormat/>
    <w:uiPriority w:val="65"/>
    <w:pPr>
      <w:spacing w:after="0" w:line="240" w:lineRule="auto"/>
    </w:pPr>
    <w:rPr>
      <w:color w:val="000000"/>
    </w:rPr>
    <w:tblPr>
      <w:tblBorders>
        <w:top w:val="single" w:color="8064A2" w:sz="8" w:space="0"/>
        <w:bottom w:val="single" w:color="8064A2"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75">
    <w:name w:val="Medium List 1 Accent 5"/>
    <w:basedOn w:val="33"/>
    <w:qFormat/>
    <w:uiPriority w:val="65"/>
    <w:pPr>
      <w:spacing w:after="0" w:line="240" w:lineRule="auto"/>
    </w:pPr>
    <w:rPr>
      <w:color w:val="000000"/>
    </w:rPr>
    <w:tblPr>
      <w:tblBorders>
        <w:top w:val="single" w:color="4BACC6" w:sz="8" w:space="0"/>
        <w:bottom w:val="single" w:color="4BACC6"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0"/>
      </w:tcPr>
    </w:tblStylePr>
    <w:tblStylePr w:type="band1Horz">
      <w:tblPr/>
      <w:tcPr>
        <w:shd w:val="clear" w:color="auto" w:fill="D2EAF0"/>
      </w:tcPr>
    </w:tblStylePr>
  </w:style>
  <w:style w:type="table" w:styleId="76">
    <w:name w:val="Medium List 1 Accent 6"/>
    <w:basedOn w:val="33"/>
    <w:qFormat/>
    <w:uiPriority w:val="65"/>
    <w:pPr>
      <w:spacing w:after="0" w:line="240" w:lineRule="auto"/>
    </w:pPr>
    <w:rPr>
      <w:color w:val="000000"/>
    </w:rPr>
    <w:tblPr>
      <w:tblBorders>
        <w:top w:val="single" w:color="F79646" w:sz="8" w:space="0"/>
        <w:bottom w:val="single" w:color="F79646"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5D1"/>
      </w:tcPr>
    </w:tblStylePr>
    <w:tblStylePr w:type="band1Horz">
      <w:tblPr/>
      <w:tcPr>
        <w:shd w:val="clear" w:color="auto" w:fill="FDE5D1"/>
      </w:tcPr>
    </w:tblStylePr>
  </w:style>
  <w:style w:type="table" w:styleId="77">
    <w:name w:val="Medium List 2"/>
    <w:basedOn w:val="33"/>
    <w:qFormat/>
    <w:uiPriority w:val="66"/>
    <w:pPr>
      <w:spacing w:after="0" w:line="240" w:lineRule="auto"/>
    </w:pPr>
    <w:rPr>
      <w:rFonts w:ascii="Calibri" w:hAnsi="Calibri" w:eastAsia="MS Gothic" w:cs="宋体"/>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Calibri" w:hAnsi="Calibri" w:eastAsia="MS Gothic" w:cs="宋体"/>
      <w:color w:val="00000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Calibri" w:hAnsi="Calibri" w:eastAsia="MS Gothic" w:cs="宋体"/>
      <w:color w:val="00000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Calibri" w:hAnsi="Calibri" w:eastAsia="MS Gothic" w:cs="宋体"/>
      <w:color w:val="00000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Calibri" w:hAnsi="Calibri" w:eastAsia="MS Gothic" w:cs="宋体"/>
      <w:color w:val="00000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Calibri" w:hAnsi="Calibri" w:eastAsia="MS Gothic" w:cs="宋体"/>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0"/>
      </w:tcPr>
    </w:tblStylePr>
    <w:tblStylePr w:type="band1Horz">
      <w:tblPr/>
      <w:tcPr>
        <w:tcBorders>
          <w:top w:val="nil"/>
          <w:bottom w:val="nil"/>
          <w:insideH w:val="nil"/>
          <w:insideV w:val="nil"/>
        </w:tcBorders>
        <w:shd w:val="clear" w:color="auto" w:fill="D2EAF0"/>
      </w:tcPr>
    </w:tblStylePr>
    <w:tblStylePr w:type="nwCell">
      <w:tblPr/>
      <w:tcPr>
        <w:shd w:val="clear" w:color="auto" w:fill="FFFFFF"/>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Calibri" w:hAnsi="Calibri" w:eastAsia="MS Gothic" w:cs="宋体"/>
      <w:color w:val="00000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insideV w:val="single" w:color="3F3F3F" w:sz="8" w:space="0"/>
      </w:tblBorders>
      <w:tblCellMar>
        <w:top w:w="0" w:type="dxa"/>
        <w:left w:w="108" w:type="dxa"/>
        <w:bottom w:w="0" w:type="dxa"/>
        <w:right w:w="108" w:type="dxa"/>
      </w:tblCellMar>
    </w:tblPr>
    <w:tcPr>
      <w:shd w:val="clear" w:color="auto" w:fill="BFBFBF"/>
    </w:tcPr>
    <w:tblStylePr w:type="firstRow">
      <w:rPr>
        <w:b/>
        <w:bCs/>
      </w:rPr>
    </w:tblStylePr>
    <w:tblStylePr w:type="lastRow">
      <w:rPr>
        <w:b/>
        <w:bCs/>
      </w:rPr>
      <w:tblPr/>
      <w:tcPr>
        <w:tcBorders>
          <w:top w:val="single" w:color="3F3F3F" w:sz="18" w:space="0"/>
        </w:tcBorders>
      </w:tcPr>
    </w:tblStylePr>
    <w:tblStylePr w:type="firstCol">
      <w:rPr>
        <w:b/>
        <w:bCs/>
      </w:rPr>
    </w:tblStylePr>
    <w:tblStylePr w:type="lastCol">
      <w:rPr>
        <w:b/>
        <w:bCs/>
      </w:rPr>
    </w:tblStylePr>
    <w:tblStylePr w:type="band1Vert">
      <w:tblPr/>
      <w:tcPr>
        <w:shd w:val="clear" w:color="auto" w:fill="7F7F7F"/>
      </w:tcPr>
    </w:tblStylePr>
    <w:tblStylePr w:type="band1Horz">
      <w:tblPr/>
      <w:tcPr>
        <w:shd w:val="clear" w:color="auto" w:fill="7F7F7F"/>
      </w:tcPr>
    </w:tblStylePr>
  </w:style>
  <w:style w:type="table" w:styleId="85">
    <w:name w:val="Medium Grid 1 Accent 1"/>
    <w:basedOn w:val="33"/>
    <w:qFormat/>
    <w:uiPriority w:val="67"/>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86">
    <w:name w:val="Medium Grid 1 Accent 2"/>
    <w:basedOn w:val="33"/>
    <w:qFormat/>
    <w:uiPriority w:val="67"/>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3"/>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7">
    <w:name w:val="Medium Grid 1 Accent 3"/>
    <w:basedOn w:val="33"/>
    <w:qFormat/>
    <w:uiPriority w:val="67"/>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insideV w:val="single" w:color="B4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4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8">
    <w:name w:val="Medium Grid 1 Accent 4"/>
    <w:basedOn w:val="33"/>
    <w:qFormat/>
    <w:uiPriority w:val="67"/>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9">
    <w:name w:val="Medium Grid 1 Accent 5"/>
    <w:basedOn w:val="33"/>
    <w:qFormat/>
    <w:uiPriority w:val="67"/>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0"/>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90">
    <w:name w:val="Medium Grid 1 Accent 6"/>
    <w:basedOn w:val="33"/>
    <w:qFormat/>
    <w:uiPriority w:val="67"/>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5D1"/>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1">
    <w:name w:val="Medium Grid 2"/>
    <w:basedOn w:val="33"/>
    <w:qFormat/>
    <w:uiPriority w:val="68"/>
    <w:pPr>
      <w:spacing w:after="0" w:line="240" w:lineRule="auto"/>
    </w:pPr>
    <w:rPr>
      <w:rFonts w:ascii="Calibri" w:hAnsi="Calibri" w:eastAsia="MS Gothic" w:cs="宋体"/>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cPr>
    <w:tblStylePr w:type="firstRow">
      <w:rPr>
        <w:b/>
        <w:bCs/>
        <w:color w:val="000000"/>
      </w:rPr>
      <w:tblPr/>
      <w:tcPr>
        <w:shd w:val="clear" w:color="auto" w:fill="E5E5E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7F7F7F"/>
      </w:tcPr>
    </w:tblStylePr>
    <w:tblStylePr w:type="band1Horz">
      <w:tblPr/>
      <w:tcPr>
        <w:tcBorders>
          <w:insideH w:val="single" w:sz="6" w:space="0"/>
          <w:insideV w:val="single" w:sz="6" w:space="0"/>
        </w:tcBorders>
        <w:shd w:val="clear" w:color="auto" w:fill="7F7F7F"/>
      </w:tcPr>
    </w:tblStylePr>
    <w:tblStylePr w:type="nwCell">
      <w:tblPr/>
      <w:tcPr>
        <w:shd w:val="clear" w:color="auto" w:fill="FFFFFF"/>
      </w:tcPr>
    </w:tblStylePr>
  </w:style>
  <w:style w:type="table" w:styleId="92">
    <w:name w:val="Medium Grid 2 Accent 1"/>
    <w:basedOn w:val="33"/>
    <w:qFormat/>
    <w:uiPriority w:val="68"/>
    <w:pPr>
      <w:spacing w:after="0" w:line="240" w:lineRule="auto"/>
    </w:pPr>
    <w:rPr>
      <w:rFonts w:ascii="Calibri" w:hAnsi="Calibri" w:eastAsia="MS Gothic" w:cs="宋体"/>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C0DE"/>
      </w:tcPr>
    </w:tblStylePr>
    <w:tblStylePr w:type="band1Horz">
      <w:tblPr/>
      <w:tcPr>
        <w:tcBorders>
          <w:insideH w:val="single" w:sz="6" w:space="0"/>
          <w:insideV w:val="single" w:sz="6" w:space="0"/>
        </w:tcBorders>
        <w:shd w:val="clear" w:color="auto" w:fill="A7C0DE"/>
      </w:tcPr>
    </w:tblStylePr>
    <w:tblStylePr w:type="nwCell">
      <w:tblPr/>
      <w:tcPr>
        <w:shd w:val="clear" w:color="auto" w:fill="FFFFFF"/>
      </w:tcPr>
    </w:tblStylePr>
  </w:style>
  <w:style w:type="table" w:styleId="93">
    <w:name w:val="Medium Grid 2 Accent 2"/>
    <w:basedOn w:val="33"/>
    <w:qFormat/>
    <w:uiPriority w:val="68"/>
    <w:pPr>
      <w:spacing w:after="0" w:line="240" w:lineRule="auto"/>
    </w:pPr>
    <w:rPr>
      <w:rFonts w:ascii="Calibri" w:hAnsi="Calibri" w:eastAsia="MS Gothic" w:cs="宋体"/>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3"/>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94">
    <w:name w:val="Medium Grid 2 Accent 3"/>
    <w:basedOn w:val="33"/>
    <w:qFormat/>
    <w:uiPriority w:val="68"/>
    <w:pPr>
      <w:spacing w:after="0" w:line="240" w:lineRule="auto"/>
    </w:pPr>
    <w:rPr>
      <w:rFonts w:ascii="Calibri" w:hAnsi="Calibri" w:eastAsia="MS Gothic" w:cs="宋体"/>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95">
    <w:name w:val="Medium Grid 2 Accent 4"/>
    <w:basedOn w:val="33"/>
    <w:qFormat/>
    <w:uiPriority w:val="68"/>
    <w:pPr>
      <w:spacing w:after="0" w:line="240" w:lineRule="auto"/>
    </w:pPr>
    <w:rPr>
      <w:rFonts w:ascii="Calibri" w:hAnsi="Calibri" w:eastAsia="MS Gothic" w:cs="宋体"/>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96">
    <w:name w:val="Medium Grid 2 Accent 5"/>
    <w:basedOn w:val="33"/>
    <w:qFormat/>
    <w:uiPriority w:val="68"/>
    <w:pPr>
      <w:spacing w:after="0" w:line="240" w:lineRule="auto"/>
    </w:pPr>
    <w:rPr>
      <w:rFonts w:ascii="Calibri" w:hAnsi="Calibri" w:eastAsia="MS Gothic" w:cs="宋体"/>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97">
    <w:name w:val="Medium Grid 2 Accent 6"/>
    <w:basedOn w:val="33"/>
    <w:qFormat/>
    <w:uiPriority w:val="68"/>
    <w:pPr>
      <w:spacing w:after="0" w:line="240" w:lineRule="auto"/>
    </w:pPr>
    <w:rPr>
      <w:rFonts w:ascii="Calibri" w:hAnsi="Calibri" w:eastAsia="MS Gothic" w:cs="宋体"/>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5D1"/>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98">
    <w:name w:val="Medium Grid 3"/>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BFBFB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7F7F7F"/>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7F7F7F"/>
      </w:tcPr>
    </w:tblStylePr>
  </w:style>
  <w:style w:type="table" w:styleId="99">
    <w:name w:val="Medium Grid 3 Accent 1"/>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C0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C0DE"/>
      </w:tcPr>
    </w:tblStylePr>
  </w:style>
  <w:style w:type="table" w:styleId="100">
    <w:name w:val="Medium Grid 3 Accent 2"/>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3"/>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01">
    <w:name w:val="Medium Grid 3 Accent 3"/>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02">
    <w:name w:val="Medium Grid 3 Accent 4"/>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03">
    <w:name w:val="Medium Grid 3 Accent 5"/>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04">
    <w:name w:val="Medium Grid 3 Accent 6"/>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5D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05">
    <w:name w:val="Dark List"/>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06">
    <w:name w:val="Dark List Accent 1"/>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1"/>
      </w:tcPr>
    </w:tblStylePr>
    <w:tblStylePr w:type="firstCol">
      <w:tblPr/>
      <w:tcPr>
        <w:tcBorders>
          <w:top w:val="nil"/>
          <w:left w:val="nil"/>
          <w:bottom w:val="nil"/>
          <w:right w:val="single" w:color="FFFFFF" w:sz="18" w:space="0"/>
          <w:insideH w:val="nil"/>
          <w:insideV w:val="nil"/>
        </w:tcBorders>
        <w:shd w:val="clear" w:color="auto" w:fill="366091"/>
      </w:tcPr>
    </w:tblStylePr>
    <w:tblStylePr w:type="lastCol">
      <w:tblPr/>
      <w:tcPr>
        <w:tcBorders>
          <w:top w:val="nil"/>
          <w:left w:val="single" w:color="FFFFFF" w:sz="18" w:space="0"/>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styleId="107">
    <w:name w:val="Dark List Accent 2"/>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734"/>
      </w:tcPr>
    </w:tblStylePr>
    <w:tblStylePr w:type="lastCol">
      <w:tblPr/>
      <w:tcPr>
        <w:tcBorders>
          <w:top w:val="nil"/>
          <w:left w:val="single" w:color="FFFFFF" w:sz="18" w:space="0"/>
          <w:bottom w:val="nil"/>
          <w:right w:val="nil"/>
          <w:insideH w:val="nil"/>
          <w:insideV w:val="nil"/>
        </w:tcBorders>
        <w:shd w:val="clear" w:color="auto" w:fill="943734"/>
      </w:tcPr>
    </w:tblStylePr>
    <w:tblStylePr w:type="band1Vert">
      <w:tblPr/>
      <w:tcPr>
        <w:tcBorders>
          <w:top w:val="nil"/>
          <w:left w:val="nil"/>
          <w:bottom w:val="nil"/>
          <w:right w:val="nil"/>
          <w:insideH w:val="nil"/>
          <w:insideV w:val="nil"/>
        </w:tcBorders>
        <w:shd w:val="clear" w:color="auto" w:fill="943734"/>
      </w:tcPr>
    </w:tblStylePr>
    <w:tblStylePr w:type="band1Horz">
      <w:tblPr/>
      <w:tcPr>
        <w:tcBorders>
          <w:top w:val="nil"/>
          <w:left w:val="nil"/>
          <w:bottom w:val="nil"/>
          <w:right w:val="nil"/>
          <w:insideH w:val="nil"/>
          <w:insideV w:val="nil"/>
        </w:tcBorders>
        <w:shd w:val="clear" w:color="auto" w:fill="943734"/>
      </w:tcPr>
    </w:tblStylePr>
  </w:style>
  <w:style w:type="table" w:styleId="108">
    <w:name w:val="Dark List Accent 3"/>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7"/>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09">
    <w:name w:val="Dark List Accent 4"/>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0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10">
    <w:name w:val="Dark List Accent 5"/>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11">
    <w:name w:val="Dark List Accent 6"/>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9"/>
      </w:tcPr>
    </w:tblStylePr>
    <w:tblStylePr w:type="lastCol">
      <w:tblPr/>
      <w:tcPr>
        <w:tcBorders>
          <w:top w:val="nil"/>
          <w:left w:val="single" w:color="FFFFFF" w:sz="18" w:space="0"/>
          <w:bottom w:val="nil"/>
          <w:right w:val="nil"/>
          <w:insideH w:val="nil"/>
          <w:insideV w:val="nil"/>
        </w:tcBorders>
        <w:shd w:val="clear" w:color="auto" w:fill="E36C09"/>
      </w:tcPr>
    </w:tblStylePr>
    <w:tblStylePr w:type="band1Vert">
      <w:tblPr/>
      <w:tcPr>
        <w:tcBorders>
          <w:top w:val="nil"/>
          <w:left w:val="nil"/>
          <w:bottom w:val="nil"/>
          <w:right w:val="nil"/>
          <w:insideH w:val="nil"/>
          <w:insideV w:val="nil"/>
        </w:tcBorders>
        <w:shd w:val="clear" w:color="auto" w:fill="E36C09"/>
      </w:tcPr>
    </w:tblStylePr>
    <w:tblStylePr w:type="band1Horz">
      <w:tblPr/>
      <w:tcPr>
        <w:tcBorders>
          <w:top w:val="nil"/>
          <w:left w:val="nil"/>
          <w:bottom w:val="nil"/>
          <w:right w:val="nil"/>
          <w:insideH w:val="nil"/>
          <w:insideV w:val="nil"/>
        </w:tcBorders>
        <w:shd w:val="clear" w:color="auto" w:fill="E36C09"/>
      </w:tcPr>
    </w:tblStylePr>
  </w:style>
  <w:style w:type="table" w:styleId="112">
    <w:name w:val="Colorful Shading"/>
    <w:basedOn w:val="33"/>
    <w:qFormat/>
    <w:uiPriority w:val="71"/>
    <w:pPr>
      <w:spacing w:after="0" w:line="240" w:lineRule="auto"/>
    </w:pPr>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5E5E5"/>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7F7F7F"/>
      </w:tcPr>
    </w:tblStylePr>
    <w:tblStylePr w:type="neCell">
      <w:rPr>
        <w:color w:val="000000"/>
      </w:rPr>
    </w:tblStylePr>
    <w:tblStylePr w:type="nwCell">
      <w:rPr>
        <w:color w:val="000000"/>
      </w:rPr>
    </w:tblStylePr>
  </w:style>
  <w:style w:type="table" w:styleId="113">
    <w:name w:val="Colorful Shading Accent 1"/>
    <w:basedOn w:val="33"/>
    <w:qFormat/>
    <w:uiPriority w:val="71"/>
    <w:pPr>
      <w:spacing w:after="0" w:line="240" w:lineRule="auto"/>
    </w:pPr>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B4D74"/>
      </w:tcPr>
    </w:tblStylePr>
    <w:tblStylePr w:type="firstCol">
      <w:rPr>
        <w:color w:val="FFFFFF"/>
      </w:rPr>
      <w:tblPr/>
      <w:tcPr>
        <w:tcBorders>
          <w:top w:val="nil"/>
          <w:left w:val="nil"/>
          <w:bottom w:val="nil"/>
          <w:right w:val="nil"/>
          <w:insideH w:val="single" w:sz="4" w:space="0"/>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114">
    <w:name w:val="Colorful Shading Accent 2"/>
    <w:basedOn w:val="33"/>
    <w:qFormat/>
    <w:uiPriority w:val="71"/>
    <w:pPr>
      <w:spacing w:after="0" w:line="240" w:lineRule="auto"/>
    </w:pPr>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15">
    <w:name w:val="Colorful Shading Accent 3"/>
    <w:basedOn w:val="33"/>
    <w:qFormat/>
    <w:uiPriority w:val="71"/>
    <w:pPr>
      <w:spacing w:after="0" w:line="240" w:lineRule="auto"/>
    </w:pPr>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16">
    <w:name w:val="Colorful Shading Accent 4"/>
    <w:basedOn w:val="33"/>
    <w:qFormat/>
    <w:uiPriority w:val="71"/>
    <w:pPr>
      <w:spacing w:after="0" w:line="240" w:lineRule="auto"/>
    </w:pPr>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5"/>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A62"/>
      </w:tcPr>
    </w:tblStylePr>
    <w:tblStylePr w:type="firstCol">
      <w:rPr>
        <w:color w:val="FFFFFF"/>
      </w:rPr>
      <w:tblPr/>
      <w:tcPr>
        <w:tcBorders>
          <w:top w:val="nil"/>
          <w:left w:val="nil"/>
          <w:bottom w:val="nil"/>
          <w:right w:val="nil"/>
          <w:insideH w:val="single" w:sz="4" w:space="0"/>
          <w:insideV w:val="nil"/>
        </w:tcBorders>
        <w:shd w:val="clear" w:color="auto" w:fill="4C3A62"/>
      </w:tcPr>
    </w:tblStylePr>
    <w:tblStylePr w:type="lastCol">
      <w:rPr>
        <w:color w:val="FFFFFF"/>
      </w:rPr>
      <w:tblPr/>
      <w:tcPr>
        <w:tcBorders>
          <w:top w:val="nil"/>
          <w:left w:val="nil"/>
          <w:bottom w:val="nil"/>
          <w:right w:val="nil"/>
          <w:insideH w:val="nil"/>
          <w:insideV w:val="nil"/>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17">
    <w:name w:val="Colorful Shading Accent 5"/>
    <w:basedOn w:val="33"/>
    <w:qFormat/>
    <w:uiPriority w:val="71"/>
    <w:pPr>
      <w:spacing w:after="0" w:line="240" w:lineRule="auto"/>
    </w:pPr>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18">
    <w:name w:val="Colorful Shading Accent 6"/>
    <w:basedOn w:val="33"/>
    <w:qFormat/>
    <w:uiPriority w:val="71"/>
    <w:pPr>
      <w:spacing w:after="0" w:line="240" w:lineRule="auto"/>
    </w:pPr>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7"/>
      </w:tcPr>
    </w:tblStylePr>
    <w:tblStylePr w:type="firstCol">
      <w:rPr>
        <w:color w:val="FFFFFF"/>
      </w:rPr>
      <w:tblPr/>
      <w:tcPr>
        <w:tcBorders>
          <w:top w:val="nil"/>
          <w:left w:val="nil"/>
          <w:bottom w:val="nil"/>
          <w:right w:val="nil"/>
          <w:insideH w:val="single" w:sz="4" w:space="0"/>
          <w:insideV w:val="nil"/>
        </w:tcBorders>
        <w:shd w:val="clear" w:color="auto" w:fill="B65607"/>
      </w:tcPr>
    </w:tblStylePr>
    <w:tblStylePr w:type="lastCol">
      <w:rPr>
        <w:color w:val="FFFFFF"/>
      </w:rPr>
      <w:tblPr/>
      <w:tcPr>
        <w:tcBorders>
          <w:top w:val="nil"/>
          <w:left w:val="nil"/>
          <w:bottom w:val="nil"/>
          <w:right w:val="nil"/>
          <w:insideH w:val="nil"/>
          <w:insideV w:val="nil"/>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9">
    <w:name w:val="Colorful List"/>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E5E5E5"/>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120">
    <w:name w:val="Colorful List Accent 1"/>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21">
    <w:name w:val="Colorful List Accent 2"/>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BDB"/>
      </w:tcPr>
    </w:tblStylePr>
  </w:style>
  <w:style w:type="table" w:styleId="122">
    <w:name w:val="Colorful List Accent 3"/>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F83"/>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23">
    <w:name w:val="Colorful List Accent 4"/>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F2EFF5"/>
    </w:tcPr>
    <w:tblStylePr w:type="firstRow">
      <w:rPr>
        <w:b/>
        <w:bCs/>
        <w:color w:val="FFFFFF"/>
      </w:rPr>
      <w:tblPr/>
      <w:tcPr>
        <w:tcBorders>
          <w:bottom w:val="single" w:color="FFFFFF" w:sz="12" w:space="0"/>
        </w:tcBorders>
        <w:shd w:val="clear" w:color="auto" w:fill="7E9C40"/>
      </w:tcPr>
    </w:tblStylePr>
    <w:tblStylePr w:type="lastRow">
      <w:rPr>
        <w:b/>
        <w:bCs/>
        <w:color w:val="7E9D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24">
    <w:name w:val="Colorful List Accent 5"/>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EDF6F9"/>
    </w:tcPr>
    <w:tblStylePr w:type="firstRow">
      <w:rPr>
        <w:b/>
        <w:bCs/>
        <w:color w:val="FFFFFF"/>
      </w:rPr>
      <w:tblPr/>
      <w:tcPr>
        <w:tcBorders>
          <w:bottom w:val="single" w:color="FFFFFF" w:sz="12" w:space="0"/>
        </w:tcBorders>
        <w:shd w:val="clear" w:color="auto" w:fill="F3730A"/>
      </w:tcPr>
    </w:tblStylePr>
    <w:tblStylePr w:type="lastRow">
      <w:rPr>
        <w:b/>
        <w:bCs/>
        <w:color w:val="F3740B"/>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cPr>
    </w:tblStylePr>
    <w:tblStylePr w:type="band1Horz">
      <w:tblPr/>
      <w:tcPr>
        <w:shd w:val="clear" w:color="auto" w:fill="DAEEF3"/>
      </w:tcPr>
    </w:tblStylePr>
  </w:style>
  <w:style w:type="table" w:styleId="125">
    <w:name w:val="Colorful List Accent 6"/>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58EA6"/>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9D9"/>
      </w:tcPr>
    </w:tblStylePr>
  </w:style>
  <w:style w:type="table" w:styleId="126">
    <w:name w:val="Colorful Grid"/>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styleId="127">
    <w:name w:val="Colorful Grid Accent 1"/>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128">
    <w:name w:val="Colorful Grid Accent 2"/>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129">
    <w:name w:val="Colorful Grid Accent 3"/>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30">
    <w:name w:val="Colorful Grid Accent 4"/>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31">
    <w:name w:val="Colorful Grid Accent 5"/>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32">
    <w:name w:val="Colorful Grid Accent 6"/>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_c0058d59-8923-409d-9f88-91e24a66403d"/>
    <w:basedOn w:val="133"/>
    <w:link w:val="25"/>
    <w:qFormat/>
    <w:uiPriority w:val="99"/>
  </w:style>
  <w:style w:type="character" w:customStyle="1" w:styleId="137">
    <w:name w:val="Footer Char_f10eb446-ac44-433d-8b34-16ab4b83882d"/>
    <w:basedOn w:val="133"/>
    <w:link w:val="24"/>
    <w:qFormat/>
    <w:uiPriority w:val="99"/>
  </w:style>
  <w:style w:type="paragraph" w:styleId="138">
    <w:name w:val="No Spacing"/>
    <w:qFormat/>
    <w:uiPriority w:val="1"/>
    <w:pPr>
      <w:spacing w:after="0" w:line="240" w:lineRule="auto"/>
    </w:pPr>
    <w:rPr>
      <w:rFonts w:ascii="Cambria" w:hAnsi="Cambria" w:eastAsia="ＭＳ 明朝" w:cs="宋体"/>
      <w:sz w:val="22"/>
      <w:szCs w:val="22"/>
      <w:lang w:val="en-US" w:eastAsia="en-US" w:bidi="ar-SA"/>
    </w:rPr>
  </w:style>
  <w:style w:type="character" w:customStyle="1" w:styleId="139">
    <w:name w:val="Heading 1 Char_0fd99aae-803e-4dfa-828a-fc5106da9ec3"/>
    <w:basedOn w:val="133"/>
    <w:link w:val="3"/>
    <w:qFormat/>
    <w:uiPriority w:val="9"/>
    <w:rPr>
      <w:rFonts w:ascii="Calibri" w:hAnsi="Calibri" w:eastAsia="MS Gothic" w:cs="宋体"/>
      <w:b/>
      <w:bCs/>
      <w:color w:val="376092"/>
      <w:sz w:val="28"/>
      <w:szCs w:val="28"/>
    </w:rPr>
  </w:style>
  <w:style w:type="character" w:customStyle="1" w:styleId="140">
    <w:name w:val="Heading 2 Char_d92ebddf-f6cb-4e18-8ea4-65b9f218619d"/>
    <w:basedOn w:val="133"/>
    <w:link w:val="4"/>
    <w:qFormat/>
    <w:uiPriority w:val="9"/>
    <w:rPr>
      <w:rFonts w:ascii="Calibri" w:hAnsi="Calibri" w:eastAsia="MS Gothic" w:cs="宋体"/>
      <w:b/>
      <w:bCs/>
      <w:color w:val="4F81BD"/>
      <w:sz w:val="26"/>
      <w:szCs w:val="26"/>
    </w:rPr>
  </w:style>
  <w:style w:type="character" w:customStyle="1" w:styleId="141">
    <w:name w:val="Heading 3 Char_5bd4d2e7-3db3-4711-99e9-0ec8a7799f3c"/>
    <w:basedOn w:val="133"/>
    <w:link w:val="5"/>
    <w:qFormat/>
    <w:uiPriority w:val="9"/>
    <w:rPr>
      <w:rFonts w:ascii="Calibri" w:hAnsi="Calibri" w:eastAsia="MS Gothic" w:cs="宋体"/>
      <w:b/>
      <w:bCs/>
      <w:color w:val="4F81BD"/>
    </w:rPr>
  </w:style>
  <w:style w:type="character" w:customStyle="1" w:styleId="142">
    <w:name w:val="Title Char_1ac71929-0f6a-46ce-b820-1baff2a724f2"/>
    <w:basedOn w:val="133"/>
    <w:link w:val="32"/>
    <w:qFormat/>
    <w:uiPriority w:val="10"/>
    <w:rPr>
      <w:rFonts w:ascii="Calibri" w:hAnsi="Calibri" w:eastAsia="MS Gothic" w:cs="宋体"/>
      <w:color w:val="17375E"/>
      <w:spacing w:val="5"/>
      <w:kern w:val="28"/>
      <w:sz w:val="52"/>
      <w:szCs w:val="52"/>
    </w:rPr>
  </w:style>
  <w:style w:type="character" w:customStyle="1" w:styleId="143">
    <w:name w:val="Subtitle Char"/>
    <w:basedOn w:val="133"/>
    <w:link w:val="26"/>
    <w:qFormat/>
    <w:uiPriority w:val="11"/>
    <w:rPr>
      <w:rFonts w:ascii="Calibri" w:hAnsi="Calibri" w:eastAsia="MS Gothic" w:cs="宋体"/>
      <w:i/>
      <w:iCs/>
      <w:color w:val="4F81BD"/>
      <w:spacing w:val="15"/>
      <w:sz w:val="24"/>
      <w:szCs w:val="24"/>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rPr>
  </w:style>
  <w:style w:type="character" w:customStyle="1" w:styleId="150">
    <w:name w:val="Quote Char_8b58b0eb-aafb-4461-8c7a-09c3e381f628"/>
    <w:basedOn w:val="133"/>
    <w:link w:val="149"/>
    <w:qFormat/>
    <w:uiPriority w:val="29"/>
    <w:rPr>
      <w:i/>
      <w:iCs/>
      <w:color w:val="000000"/>
    </w:rPr>
  </w:style>
  <w:style w:type="character" w:customStyle="1" w:styleId="151">
    <w:name w:val="Heading 4 Char_cb81d287-e2a5-4e1a-8279-245d718b6ddf"/>
    <w:basedOn w:val="133"/>
    <w:link w:val="6"/>
    <w:qFormat/>
    <w:uiPriority w:val="9"/>
    <w:rPr>
      <w:rFonts w:ascii="Calibri" w:hAnsi="Calibri" w:eastAsia="MS Gothic" w:cs="宋体"/>
      <w:b/>
      <w:bCs/>
      <w:i/>
      <w:iCs/>
      <w:color w:val="4F81BD"/>
    </w:rPr>
  </w:style>
  <w:style w:type="character" w:customStyle="1" w:styleId="152">
    <w:name w:val="Heading 5 Char_00e27ed8-4f91-43bc-a224-8bed0decc9cc"/>
    <w:basedOn w:val="133"/>
    <w:link w:val="7"/>
    <w:qFormat/>
    <w:uiPriority w:val="9"/>
    <w:rPr>
      <w:rFonts w:ascii="Calibri" w:hAnsi="Calibri" w:eastAsia="MS Gothic" w:cs="宋体"/>
      <w:color w:val="254061"/>
    </w:rPr>
  </w:style>
  <w:style w:type="character" w:customStyle="1" w:styleId="153">
    <w:name w:val="Heading 6 Char_3b80e3c6-ce41-4cb3-a74c-72cbb1e656fc"/>
    <w:basedOn w:val="133"/>
    <w:link w:val="8"/>
    <w:qFormat/>
    <w:uiPriority w:val="9"/>
    <w:rPr>
      <w:rFonts w:ascii="Calibri" w:hAnsi="Calibri" w:eastAsia="MS Gothic" w:cs="宋体"/>
      <w:i/>
      <w:iCs/>
      <w:color w:val="254061"/>
    </w:rPr>
  </w:style>
  <w:style w:type="character" w:customStyle="1" w:styleId="154">
    <w:name w:val="Heading 7 Char_c6323821-5c43-4093-be05-518f00338718"/>
    <w:basedOn w:val="133"/>
    <w:link w:val="9"/>
    <w:qFormat/>
    <w:uiPriority w:val="9"/>
    <w:rPr>
      <w:rFonts w:ascii="Calibri" w:hAnsi="Calibri" w:eastAsia="MS Gothic" w:cs="宋体"/>
      <w:i/>
      <w:iCs/>
      <w:color w:val="3F3F3F"/>
    </w:rPr>
  </w:style>
  <w:style w:type="character" w:customStyle="1" w:styleId="155">
    <w:name w:val="Heading 8 Char_ea91ac68-644e-4bd1-b916-1a1d0a6e60db"/>
    <w:basedOn w:val="133"/>
    <w:link w:val="10"/>
    <w:qFormat/>
    <w:uiPriority w:val="9"/>
    <w:rPr>
      <w:rFonts w:ascii="Calibri" w:hAnsi="Calibri" w:eastAsia="MS Gothic" w:cs="宋体"/>
      <w:color w:val="4F81BD"/>
      <w:sz w:val="20"/>
      <w:szCs w:val="20"/>
    </w:rPr>
  </w:style>
  <w:style w:type="character" w:customStyle="1" w:styleId="156">
    <w:name w:val="Heading 9 Char_3bf82d68-69b7-48f3-bf93-e093f031789b"/>
    <w:basedOn w:val="133"/>
    <w:link w:val="11"/>
    <w:qFormat/>
    <w:uiPriority w:val="9"/>
    <w:rPr>
      <w:rFonts w:ascii="Calibri" w:hAnsi="Calibri" w:eastAsia="MS Gothic" w:cs="宋体"/>
      <w:i/>
      <w:iCs/>
      <w:color w:val="3F3F3F"/>
      <w:sz w:val="20"/>
      <w:szCs w:val="20"/>
    </w:rPr>
  </w:style>
  <w:style w:type="paragraph" w:styleId="157">
    <w:name w:val="Intense Quote"/>
    <w:basedOn w:val="1"/>
    <w:next w:val="1"/>
    <w:link w:val="158"/>
    <w:qFormat/>
    <w:uiPriority w:val="30"/>
    <w:pPr>
      <w:pBdr>
        <w:bottom w:val="single" w:color="4F81BD" w:sz="4" w:space="4"/>
      </w:pBdr>
      <w:spacing w:before="200" w:after="280"/>
      <w:ind w:left="936" w:right="936"/>
    </w:pPr>
    <w:rPr>
      <w:b/>
      <w:bCs/>
      <w:i/>
      <w:iCs/>
      <w:color w:val="4F81BD"/>
    </w:rPr>
  </w:style>
  <w:style w:type="character" w:customStyle="1" w:styleId="158">
    <w:name w:val="Intense Quote Char_d4a6e8a2-a825-425e-ac24-49897e2beb2d"/>
    <w:basedOn w:val="133"/>
    <w:link w:val="157"/>
    <w:qFormat/>
    <w:uiPriority w:val="30"/>
    <w:rPr>
      <w:b/>
      <w:bCs/>
      <w:i/>
      <w:iCs/>
      <w:color w:val="4F81BD"/>
    </w:rPr>
  </w:style>
  <w:style w:type="character" w:customStyle="1" w:styleId="159">
    <w:name w:val="Subtle Emphasis_81a0a772-f940-4e66-aa73-a6285297082f"/>
    <w:basedOn w:val="133"/>
    <w:qFormat/>
    <w:uiPriority w:val="19"/>
    <w:rPr>
      <w:i/>
      <w:iCs/>
      <w:color w:val="7F7F7F"/>
    </w:rPr>
  </w:style>
  <w:style w:type="character" w:customStyle="1" w:styleId="160">
    <w:name w:val="Intense Emphasis_e68acada-c1ef-490a-9660-f15e8d12db61"/>
    <w:basedOn w:val="133"/>
    <w:qFormat/>
    <w:uiPriority w:val="21"/>
    <w:rPr>
      <w:b/>
      <w:bCs/>
      <w:i/>
      <w:iCs/>
      <w:color w:val="4F81BD"/>
    </w:rPr>
  </w:style>
  <w:style w:type="character" w:customStyle="1" w:styleId="161">
    <w:name w:val="Subtle Reference_d48abd32-2565-420b-9ff3-2ee4f26f1fb9"/>
    <w:basedOn w:val="133"/>
    <w:qFormat/>
    <w:uiPriority w:val="31"/>
    <w:rPr>
      <w:smallCaps/>
      <w:color w:val="C0504D"/>
      <w:u w:val="single"/>
    </w:rPr>
  </w:style>
  <w:style w:type="character" w:customStyle="1" w:styleId="162">
    <w:name w:val="Intense Reference_d649afb2-e83a-4b00-a67c-267dbb5d3b92"/>
    <w:basedOn w:val="133"/>
    <w:qFormat/>
    <w:uiPriority w:val="32"/>
    <w:rPr>
      <w:b/>
      <w:bCs/>
      <w:smallCaps/>
      <w:color w:val="C0504D"/>
      <w:spacing w:val="5"/>
      <w:u w:val="single"/>
    </w:rPr>
  </w:style>
  <w:style w:type="character" w:customStyle="1" w:styleId="163">
    <w:name w:val="Book Title_6bbd0ea4-c02c-4108-8816-f906fbbd693b"/>
    <w:basedOn w:val="133"/>
    <w:qFormat/>
    <w:uiPriority w:val="33"/>
    <w:rPr>
      <w:b/>
      <w:bCs/>
      <w:smallCaps/>
      <w:spacing w:val="5"/>
    </w:rPr>
  </w:style>
  <w:style w:type="paragraph" w:customStyle="1" w:styleId="164">
    <w:name w:val="TOC Heading_cac0e85d-9731-42d6-a160-a11a59c45dd4"/>
    <w:basedOn w:val="3"/>
    <w:next w:val="1"/>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2694</Words>
  <Characters>2771</Characters>
  <Paragraphs>70</Paragraphs>
  <TotalTime>0</TotalTime>
  <ScaleCrop>false</ScaleCrop>
  <LinksUpToDate>false</LinksUpToDate>
  <CharactersWithSpaces>2884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2013-12-24T23:15:00Z</dcterms:created>
  <dc:creator>python-docx</dc:creator>
  <dc:description>generated by python-docx</dc:description>
  <cp:lastModifiedBy>YH</cp:lastModifiedBy>
  <cp:lastPrinted>2025-01-23T18:05:00Z</cp:lastPrinted>
  <dcterms:modified xsi:type="dcterms:W3CDTF">2026-01-21T09:18:51Z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eyJoZGlkIjoiZDZmNWZmMGU5MDg3Y2JlZGMxN2YyN2Q5YWM2NzI4NWIiLCJ1c2VySWQiOiIxMjY2NDIyNDc4In0=</vt:lpwstr>
  </property>
  <property fmtid="{D5CDD505-2E9C-101B-9397-08002B2CF9AE}" pid="3" name="KSOProductBuildVer">
    <vt:lpwstr>2052-12.1.0.24657</vt:lpwstr>
  </property>
  <property fmtid="{D5CDD505-2E9C-101B-9397-08002B2CF9AE}" pid="4" name="ICV">
    <vt:lpwstr>285B599E98B543C19D1E017B5FB4AF93_13</vt:lpwstr>
  </property>
</Properties>
</file>